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DE0F0A">
        <w:rPr>
          <w:rFonts w:cs="Times New Roman"/>
          <w:bCs/>
          <w:szCs w:val="28"/>
          <w:lang w:eastAsia="zh-CN"/>
        </w:rPr>
        <w:t>1-21 01 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DE0F0A">
        <w:rPr>
          <w:rFonts w:cs="Times New Roman"/>
          <w:bCs/>
          <w:szCs w:val="28"/>
          <w:lang w:eastAsia="zh-CN"/>
        </w:rPr>
        <w:t>1-21 01 01</w:t>
      </w:r>
      <w:r>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Default="000B50DE" w:rsidP="002E54AE">
      <w:pPr>
        <w:spacing w:line="240" w:lineRule="auto"/>
        <w:ind w:firstLine="0"/>
        <w:jc w:val="center"/>
        <w:rPr>
          <w:rFonts w:cs="Times New Roman"/>
          <w:szCs w:val="28"/>
          <w:lang w:val="en-US"/>
        </w:rPr>
      </w:pPr>
      <w:r>
        <w:rPr>
          <w:rFonts w:cs="Times New Roman"/>
          <w:szCs w:val="28"/>
        </w:rPr>
        <w:t>История Русской православной церкви</w:t>
      </w:r>
      <w:r w:rsidR="002E54AE">
        <w:rPr>
          <w:rFonts w:cs="Times New Roman"/>
          <w:color w:val="000000" w:themeColor="text1"/>
          <w:spacing w:val="-2"/>
          <w:szCs w:val="28"/>
          <w:lang w:val="en-US"/>
        </w:rPr>
        <w:t xml:space="preserve">, </w:t>
      </w:r>
      <w:r w:rsidR="009B38A3" w:rsidRPr="009B38A3">
        <w:rPr>
          <w:rFonts w:cs="Times New Roman"/>
          <w:color w:val="000000" w:themeColor="text1"/>
          <w:spacing w:val="-2"/>
          <w:szCs w:val="28"/>
          <w:lang w:val="en-US"/>
        </w:rPr>
        <w:t>History of the Russian Orthodox Church</w:t>
      </w:r>
    </w:p>
    <w:p w:rsidR="00DE0F0A" w:rsidRPr="002E54AE" w:rsidRDefault="00DE0F0A"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DE0F0A"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297371" w:rsidP="000C0C55">
            <w:pPr>
              <w:spacing w:line="240" w:lineRule="auto"/>
              <w:ind w:firstLine="0"/>
              <w:rPr>
                <w:rFonts w:cs="Times New Roman"/>
                <w:szCs w:val="28"/>
              </w:rPr>
            </w:pPr>
            <w:r w:rsidRPr="00297371">
              <w:rPr>
                <w:rFonts w:cs="Times New Roman"/>
                <w:szCs w:val="28"/>
              </w:rPr>
              <w:t>История церковной жизни русского народа, преимущественно на территории Русского государства, который исповедует христианскую православную веру Восточной Церкви, сохраняет ее догматы и Таинства и управляется единой церковной иерархией на основании канонов Восточной Церкви.</w:t>
            </w:r>
          </w:p>
        </w:tc>
        <w:tc>
          <w:tcPr>
            <w:tcW w:w="5245" w:type="dxa"/>
            <w:tcBorders>
              <w:top w:val="single" w:sz="4" w:space="0" w:color="auto"/>
              <w:left w:val="single" w:sz="4" w:space="0" w:color="auto"/>
              <w:bottom w:val="single" w:sz="4" w:space="0" w:color="auto"/>
              <w:right w:val="single" w:sz="4" w:space="0" w:color="auto"/>
            </w:tcBorders>
            <w:hideMark/>
          </w:tcPr>
          <w:p w:rsidR="002E54AE" w:rsidRPr="0086430C" w:rsidRDefault="0086430C" w:rsidP="000C0C55">
            <w:pPr>
              <w:spacing w:line="240" w:lineRule="auto"/>
              <w:ind w:firstLine="0"/>
              <w:rPr>
                <w:rFonts w:cs="Times New Roman"/>
                <w:szCs w:val="28"/>
                <w:lang w:val="en-US"/>
              </w:rPr>
            </w:pPr>
            <w:r w:rsidRPr="0086430C">
              <w:rPr>
                <w:rFonts w:cs="Times New Roman"/>
                <w:szCs w:val="28"/>
                <w:lang w:val="en-US"/>
              </w:rPr>
              <w:t>The history of the church life of the Russian people, primarily on the territory of the Russian state, which professes the Christian Orthodox faith of the Eastern Church, preserves its dogmas and sacraments and is governed by a single church hierarchy based on the canons of the Eastern Church.</w:t>
            </w:r>
          </w:p>
        </w:tc>
      </w:tr>
      <w:tr w:rsidR="002E54AE" w:rsidRPr="00DE0F0A"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2E5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t xml:space="preserve">универсальная </w:t>
            </w:r>
            <w:r>
              <w:rPr>
                <w:rFonts w:eastAsia="Times New Roman" w:cs="Times New Roman"/>
                <w:szCs w:val="28"/>
                <w:lang w:eastAsia="ru-RU"/>
              </w:rPr>
              <w:t>компетенция:</w:t>
            </w:r>
          </w:p>
          <w:p w:rsidR="002E54AE" w:rsidRDefault="001B0213">
            <w:pPr>
              <w:spacing w:line="240" w:lineRule="auto"/>
              <w:ind w:firstLine="0"/>
              <w:rPr>
                <w:rFonts w:cs="Times New Roman"/>
                <w:b/>
                <w:bCs/>
                <w:color w:val="FF0000"/>
                <w:szCs w:val="28"/>
              </w:rPr>
            </w:pPr>
            <w:r w:rsidRPr="001B0213">
              <w:rPr>
                <w:rFonts w:cs="Times New Roman"/>
                <w:bCs/>
                <w:szCs w:val="28"/>
              </w:rPr>
              <w:t>–</w:t>
            </w:r>
            <w:r w:rsidR="00E60C86" w:rsidRPr="00E60C86">
              <w:rPr>
                <w:rFonts w:cs="Times New Roman"/>
                <w:bCs/>
                <w:szCs w:val="28"/>
              </w:rPr>
              <w:tab/>
              <w:t>УК-14. Владеть комплексным и междисциплинарным подходом при решении профессиональных задач.</w:t>
            </w:r>
            <w:r w:rsidR="002E54AE">
              <w:rPr>
                <w:rFonts w:cs="Times New Roman"/>
                <w:spacing w:val="-2"/>
                <w:szCs w:val="28"/>
                <w:lang w:val="be-BY"/>
              </w:rPr>
              <w:t xml:space="preserve"> </w:t>
            </w:r>
          </w:p>
          <w:p w:rsidR="002E54AE" w:rsidRDefault="002E5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t xml:space="preserve">базовая профессиональная </w:t>
            </w:r>
            <w:r>
              <w:rPr>
                <w:rFonts w:eastAsia="Times New Roman" w:cs="Times New Roman"/>
                <w:szCs w:val="28"/>
                <w:lang w:eastAsia="ru-RU"/>
              </w:rPr>
              <w:t>компетенция:</w:t>
            </w:r>
          </w:p>
          <w:p w:rsidR="002E54AE" w:rsidRDefault="001B0213" w:rsidP="002E54AE">
            <w:pPr>
              <w:spacing w:line="240" w:lineRule="auto"/>
              <w:ind w:firstLine="0"/>
              <w:rPr>
                <w:rFonts w:cs="Times New Roman"/>
                <w:bCs/>
                <w:szCs w:val="28"/>
                <w:lang w:val="be-BY"/>
              </w:rPr>
            </w:pPr>
            <w:r w:rsidRPr="001B0213">
              <w:rPr>
                <w:rFonts w:cs="Times New Roman"/>
                <w:szCs w:val="28"/>
              </w:rPr>
              <w:t>–</w:t>
            </w:r>
            <w:r w:rsidR="00E60C86" w:rsidRPr="00E60C86">
              <w:rPr>
                <w:rFonts w:cs="Times New Roman"/>
                <w:szCs w:val="28"/>
              </w:rPr>
              <w:tab/>
              <w:t>БПК-11. Выявлять специфику внутрицерковных отношений, историю возникновения ересей и расколов и борьбы Церкви с ними.</w:t>
            </w:r>
            <w:r w:rsidR="002E54AE">
              <w:rPr>
                <w:rFonts w:cs="Times New Roman"/>
                <w:spacing w:val="-2"/>
                <w:szCs w:val="28"/>
                <w:lang w:val="be-BY"/>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161F35" w:rsidRPr="00161F35" w:rsidRDefault="00161F35" w:rsidP="00161F35">
            <w:pPr>
              <w:spacing w:line="240" w:lineRule="auto"/>
              <w:ind w:firstLine="0"/>
              <w:rPr>
                <w:rFonts w:cs="Times New Roman"/>
                <w:b/>
                <w:szCs w:val="28"/>
                <w:lang w:val="en-US"/>
              </w:rPr>
            </w:pPr>
            <w:r w:rsidRPr="00161F35">
              <w:rPr>
                <w:rFonts w:cs="Times New Roman"/>
                <w:b/>
                <w:szCs w:val="28"/>
                <w:lang w:val="en-US"/>
              </w:rPr>
              <w:t>universal competence:</w:t>
            </w:r>
          </w:p>
          <w:p w:rsidR="00161F35" w:rsidRPr="00161F35" w:rsidRDefault="001B0213" w:rsidP="00161F35">
            <w:pPr>
              <w:spacing w:line="240" w:lineRule="auto"/>
              <w:ind w:firstLine="0"/>
              <w:rPr>
                <w:rFonts w:cs="Times New Roman"/>
                <w:szCs w:val="28"/>
                <w:lang w:val="en-US"/>
              </w:rPr>
            </w:pPr>
            <w:r w:rsidRPr="001B0213">
              <w:rPr>
                <w:rFonts w:cs="Times New Roman"/>
                <w:szCs w:val="28"/>
                <w:lang w:val="en-US"/>
              </w:rPr>
              <w:t>–</w:t>
            </w:r>
            <w:r w:rsidR="00161F35" w:rsidRPr="00161F35">
              <w:rPr>
                <w:rFonts w:cs="Times New Roman"/>
                <w:b/>
                <w:szCs w:val="28"/>
                <w:lang w:val="en-US"/>
              </w:rPr>
              <w:t xml:space="preserve"> </w:t>
            </w:r>
            <w:r w:rsidR="00161F35" w:rsidRPr="00161F35">
              <w:rPr>
                <w:rFonts w:cs="Times New Roman"/>
                <w:szCs w:val="28"/>
                <w:lang w:val="en-US"/>
              </w:rPr>
              <w:t>UK-14. Have a comprehensive and interdisciplinary approach to</w:t>
            </w:r>
            <w:r w:rsidR="00161F35">
              <w:rPr>
                <w:rFonts w:cs="Times New Roman"/>
                <w:szCs w:val="28"/>
                <w:lang w:val="en-US"/>
              </w:rPr>
              <w:t xml:space="preserve"> solving professional problems.</w:t>
            </w:r>
          </w:p>
          <w:p w:rsidR="00161F35" w:rsidRPr="00161F35" w:rsidRDefault="00161F35" w:rsidP="00161F35">
            <w:pPr>
              <w:spacing w:line="240" w:lineRule="auto"/>
              <w:ind w:firstLine="0"/>
              <w:rPr>
                <w:rFonts w:cs="Times New Roman"/>
                <w:b/>
                <w:szCs w:val="28"/>
                <w:lang w:val="en-US"/>
              </w:rPr>
            </w:pPr>
            <w:r w:rsidRPr="00161F35">
              <w:rPr>
                <w:rFonts w:cs="Times New Roman"/>
                <w:b/>
                <w:szCs w:val="28"/>
                <w:lang w:val="en-US"/>
              </w:rPr>
              <w:t>basic professional competence:</w:t>
            </w:r>
          </w:p>
          <w:p w:rsidR="002E54AE" w:rsidRPr="00E60C86" w:rsidRDefault="001B0213" w:rsidP="00161F35">
            <w:pPr>
              <w:spacing w:line="240" w:lineRule="auto"/>
              <w:ind w:firstLine="0"/>
              <w:rPr>
                <w:rFonts w:cs="Times New Roman"/>
                <w:b/>
                <w:szCs w:val="28"/>
                <w:lang w:val="en-US"/>
              </w:rPr>
            </w:pPr>
            <w:r w:rsidRPr="001B0213">
              <w:rPr>
                <w:rFonts w:cs="Times New Roman"/>
                <w:szCs w:val="28"/>
                <w:lang w:val="en-US"/>
              </w:rPr>
              <w:t>–</w:t>
            </w:r>
            <w:r w:rsidR="00161F35" w:rsidRPr="00161F35">
              <w:rPr>
                <w:rFonts w:cs="Times New Roman"/>
                <w:b/>
                <w:szCs w:val="28"/>
                <w:lang w:val="en-US"/>
              </w:rPr>
              <w:t xml:space="preserve"> </w:t>
            </w:r>
            <w:r w:rsidR="00161F35" w:rsidRPr="00161F35">
              <w:rPr>
                <w:rFonts w:cs="Times New Roman"/>
                <w:szCs w:val="28"/>
                <w:lang w:val="en-US"/>
              </w:rPr>
              <w:t>BPK-11. Identify the specifics of intra-church relations, the history of the emergence of heresies and schisms and the Church's struggle with them.</w:t>
            </w:r>
          </w:p>
        </w:tc>
      </w:tr>
      <w:tr w:rsidR="002E54AE" w:rsidRPr="00DE0F0A"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b/>
                <w:i/>
                <w:spacing w:val="-2"/>
                <w:szCs w:val="28"/>
              </w:rPr>
            </w:pPr>
            <w:r>
              <w:rPr>
                <w:rFonts w:cs="Times New Roman"/>
                <w:b/>
                <w:i/>
                <w:spacing w:val="-2"/>
                <w:szCs w:val="28"/>
              </w:rPr>
              <w:t>знать:</w:t>
            </w:r>
          </w:p>
          <w:p w:rsidR="00161F35" w:rsidRPr="00161F35" w:rsidRDefault="00161F35" w:rsidP="00161F35">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161F35">
              <w:rPr>
                <w:rFonts w:ascii="Times New Roman" w:hAnsi="Times New Roman"/>
                <w:sz w:val="28"/>
                <w:szCs w:val="28"/>
              </w:rPr>
              <w:t>источники, основные обзорные курсы по истории Русской Церкви;</w:t>
            </w:r>
          </w:p>
          <w:p w:rsidR="00161F35" w:rsidRPr="00161F35" w:rsidRDefault="00161F35" w:rsidP="00161F35">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161F35">
              <w:rPr>
                <w:rFonts w:ascii="Times New Roman" w:hAnsi="Times New Roman"/>
                <w:sz w:val="28"/>
                <w:szCs w:val="28"/>
              </w:rPr>
              <w:t>периодизацию истории Русской Церкви;</w:t>
            </w:r>
          </w:p>
          <w:p w:rsidR="002E54AE" w:rsidRDefault="00161F35" w:rsidP="00161F35">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sidRPr="00161F35">
              <w:rPr>
                <w:rFonts w:ascii="Times New Roman" w:hAnsi="Times New Roman"/>
                <w:sz w:val="28"/>
                <w:szCs w:val="28"/>
              </w:rPr>
              <w:t>основные события и процессы в истории Русской Церкви</w:t>
            </w:r>
            <w:r w:rsidR="002E54AE">
              <w:rPr>
                <w:rFonts w:ascii="Times New Roman" w:hAnsi="Times New Roman"/>
                <w:sz w:val="28"/>
                <w:szCs w:val="28"/>
              </w:rPr>
              <w:t>;</w:t>
            </w:r>
          </w:p>
          <w:p w:rsidR="002E54AE" w:rsidRDefault="002E54AE">
            <w:pPr>
              <w:tabs>
                <w:tab w:val="left" w:pos="1134"/>
              </w:tabs>
              <w:spacing w:line="240" w:lineRule="auto"/>
              <w:ind w:firstLine="0"/>
              <w:rPr>
                <w:rFonts w:cs="Times New Roman"/>
                <w:i/>
                <w:szCs w:val="28"/>
              </w:rPr>
            </w:pPr>
            <w:r>
              <w:rPr>
                <w:rFonts w:cs="Times New Roman"/>
                <w:b/>
                <w:i/>
                <w:szCs w:val="28"/>
              </w:rPr>
              <w:t>уметь</w:t>
            </w:r>
            <w:r>
              <w:rPr>
                <w:rFonts w:cs="Times New Roman"/>
                <w:i/>
                <w:szCs w:val="28"/>
              </w:rPr>
              <w:t>:</w:t>
            </w:r>
          </w:p>
          <w:p w:rsidR="00161F35" w:rsidRPr="00161F35" w:rsidRDefault="00161F35" w:rsidP="00161F35">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161F35">
              <w:rPr>
                <w:rFonts w:ascii="Times New Roman" w:hAnsi="Times New Roman"/>
                <w:sz w:val="28"/>
                <w:szCs w:val="28"/>
              </w:rPr>
              <w:lastRenderedPageBreak/>
              <w:t>работать с источниками и с основной литературой по историографии по истории Русской Церкви;</w:t>
            </w:r>
          </w:p>
          <w:p w:rsidR="002E54AE" w:rsidRDefault="00161F35" w:rsidP="00161F35">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sidRPr="00161F35">
              <w:rPr>
                <w:rFonts w:ascii="Times New Roman" w:hAnsi="Times New Roman"/>
                <w:sz w:val="28"/>
                <w:szCs w:val="28"/>
              </w:rPr>
              <w:t>ориентироваться в истории церковно-государственных отношений;</w:t>
            </w:r>
          </w:p>
          <w:p w:rsidR="00161F35" w:rsidRPr="00161F35" w:rsidRDefault="00161F35" w:rsidP="00161F35">
            <w:pPr>
              <w:widowControl w:val="0"/>
              <w:tabs>
                <w:tab w:val="left" w:pos="1134"/>
              </w:tabs>
              <w:autoSpaceDE w:val="0"/>
              <w:autoSpaceDN w:val="0"/>
              <w:spacing w:line="240" w:lineRule="auto"/>
              <w:ind w:firstLine="0"/>
              <w:rPr>
                <w:rFonts w:cs="Times New Roman"/>
                <w:b/>
                <w:i/>
                <w:szCs w:val="28"/>
              </w:rPr>
            </w:pPr>
            <w:r w:rsidRPr="00161F35">
              <w:rPr>
                <w:rFonts w:cs="Times New Roman"/>
                <w:b/>
                <w:i/>
                <w:szCs w:val="28"/>
              </w:rPr>
              <w:t>владеть:</w:t>
            </w:r>
          </w:p>
          <w:p w:rsidR="002E54AE" w:rsidRPr="00161F35" w:rsidRDefault="00161F35" w:rsidP="00161F35">
            <w:pPr>
              <w:widowControl w:val="0"/>
              <w:tabs>
                <w:tab w:val="left" w:pos="1134"/>
              </w:tabs>
              <w:autoSpaceDE w:val="0"/>
              <w:autoSpaceDN w:val="0"/>
              <w:spacing w:line="240" w:lineRule="auto"/>
              <w:ind w:firstLine="0"/>
              <w:rPr>
                <w:rFonts w:cs="Times New Roman"/>
                <w:b/>
                <w:i/>
                <w:szCs w:val="28"/>
              </w:rPr>
            </w:pPr>
            <w:r w:rsidRPr="001B0213">
              <w:rPr>
                <w:rFonts w:cs="Times New Roman"/>
                <w:i/>
                <w:szCs w:val="28"/>
              </w:rPr>
              <w:t>–</w:t>
            </w:r>
            <w:r w:rsidRPr="00161F35">
              <w:rPr>
                <w:rFonts w:cs="Times New Roman"/>
                <w:b/>
                <w:i/>
                <w:szCs w:val="28"/>
              </w:rPr>
              <w:t xml:space="preserve"> </w:t>
            </w:r>
            <w:r w:rsidRPr="00161F35">
              <w:rPr>
                <w:rFonts w:cs="Times New Roman"/>
                <w:szCs w:val="28"/>
              </w:rPr>
              <w:t>понятийным аппаратом церковной истории.</w:t>
            </w:r>
          </w:p>
        </w:tc>
        <w:tc>
          <w:tcPr>
            <w:tcW w:w="5245" w:type="dxa"/>
            <w:tcBorders>
              <w:top w:val="single" w:sz="4" w:space="0" w:color="auto"/>
              <w:left w:val="single" w:sz="4" w:space="0" w:color="auto"/>
              <w:bottom w:val="single" w:sz="4" w:space="0" w:color="auto"/>
              <w:right w:val="single" w:sz="4" w:space="0" w:color="auto"/>
            </w:tcBorders>
            <w:hideMark/>
          </w:tcPr>
          <w:p w:rsidR="00161F35" w:rsidRPr="00161F35" w:rsidRDefault="00161F35" w:rsidP="00161F35">
            <w:pPr>
              <w:spacing w:line="240" w:lineRule="auto"/>
              <w:ind w:firstLine="0"/>
              <w:rPr>
                <w:rFonts w:cs="Times New Roman"/>
                <w:b/>
                <w:szCs w:val="28"/>
                <w:lang w:val="en-US"/>
              </w:rPr>
            </w:pPr>
            <w:r w:rsidRPr="00161F35">
              <w:rPr>
                <w:rFonts w:cs="Times New Roman"/>
                <w:b/>
                <w:szCs w:val="28"/>
                <w:lang w:val="en-US"/>
              </w:rPr>
              <w:lastRenderedPageBreak/>
              <w:t>know:</w:t>
            </w:r>
          </w:p>
          <w:p w:rsidR="00161F35" w:rsidRPr="00161F35" w:rsidRDefault="001B0213" w:rsidP="00161F35">
            <w:pPr>
              <w:spacing w:line="240" w:lineRule="auto"/>
              <w:ind w:firstLine="0"/>
              <w:rPr>
                <w:rFonts w:cs="Times New Roman"/>
                <w:szCs w:val="28"/>
                <w:lang w:val="en-US"/>
              </w:rPr>
            </w:pPr>
            <w:r w:rsidRPr="001B0213">
              <w:rPr>
                <w:rFonts w:cs="Times New Roman"/>
                <w:szCs w:val="28"/>
                <w:lang w:val="en-US"/>
              </w:rPr>
              <w:t>–</w:t>
            </w:r>
            <w:r w:rsidR="00161F35" w:rsidRPr="00161F35">
              <w:rPr>
                <w:rFonts w:cs="Times New Roman"/>
                <w:szCs w:val="28"/>
                <w:lang w:val="en-US"/>
              </w:rPr>
              <w:t xml:space="preserve"> sources, basic overview courses on the history of the Russian Church;</w:t>
            </w:r>
          </w:p>
          <w:p w:rsidR="00161F35" w:rsidRPr="00161F35" w:rsidRDefault="001B0213" w:rsidP="00161F35">
            <w:pPr>
              <w:spacing w:line="240" w:lineRule="auto"/>
              <w:ind w:firstLine="0"/>
              <w:rPr>
                <w:rFonts w:cs="Times New Roman"/>
                <w:szCs w:val="28"/>
                <w:lang w:val="en-US"/>
              </w:rPr>
            </w:pPr>
            <w:r w:rsidRPr="001B0213">
              <w:rPr>
                <w:rFonts w:cs="Times New Roman"/>
                <w:szCs w:val="28"/>
                <w:lang w:val="en-US"/>
              </w:rPr>
              <w:t xml:space="preserve">– </w:t>
            </w:r>
            <w:r w:rsidR="00161F35" w:rsidRPr="00161F35">
              <w:rPr>
                <w:rFonts w:cs="Times New Roman"/>
                <w:szCs w:val="28"/>
                <w:lang w:val="en-US"/>
              </w:rPr>
              <w:t>periodization of the history of the Russian Church;</w:t>
            </w:r>
          </w:p>
          <w:p w:rsidR="00161F35" w:rsidRPr="00161F35" w:rsidRDefault="001B0213" w:rsidP="00161F35">
            <w:pPr>
              <w:spacing w:line="240" w:lineRule="auto"/>
              <w:ind w:firstLine="0"/>
              <w:rPr>
                <w:rFonts w:cs="Times New Roman"/>
                <w:szCs w:val="28"/>
                <w:lang w:val="en-US"/>
              </w:rPr>
            </w:pPr>
            <w:r w:rsidRPr="001B0213">
              <w:rPr>
                <w:rFonts w:cs="Times New Roman"/>
                <w:szCs w:val="28"/>
                <w:lang w:val="en-US"/>
              </w:rPr>
              <w:t>–</w:t>
            </w:r>
            <w:r w:rsidR="00161F35" w:rsidRPr="00161F35">
              <w:rPr>
                <w:rFonts w:cs="Times New Roman"/>
                <w:szCs w:val="28"/>
                <w:lang w:val="en-US"/>
              </w:rPr>
              <w:t xml:space="preserve"> main events and processes in the history of the Russian Church;</w:t>
            </w:r>
          </w:p>
          <w:p w:rsidR="00161F35" w:rsidRPr="00161F35" w:rsidRDefault="00161F35" w:rsidP="00161F35">
            <w:pPr>
              <w:spacing w:line="240" w:lineRule="auto"/>
              <w:ind w:firstLine="0"/>
              <w:rPr>
                <w:rFonts w:cs="Times New Roman"/>
                <w:b/>
                <w:szCs w:val="28"/>
                <w:lang w:val="en-US"/>
              </w:rPr>
            </w:pPr>
            <w:r w:rsidRPr="00161F35">
              <w:rPr>
                <w:rFonts w:cs="Times New Roman"/>
                <w:b/>
                <w:szCs w:val="28"/>
                <w:lang w:val="en-US"/>
              </w:rPr>
              <w:t>be able to:</w:t>
            </w:r>
          </w:p>
          <w:p w:rsidR="00161F35" w:rsidRPr="00161F35" w:rsidRDefault="001B0213" w:rsidP="00161F35">
            <w:pPr>
              <w:spacing w:line="240" w:lineRule="auto"/>
              <w:ind w:firstLine="0"/>
              <w:rPr>
                <w:rFonts w:cs="Times New Roman"/>
                <w:szCs w:val="28"/>
                <w:lang w:val="en-US"/>
              </w:rPr>
            </w:pPr>
            <w:r w:rsidRPr="001B0213">
              <w:rPr>
                <w:rFonts w:cs="Times New Roman"/>
                <w:szCs w:val="28"/>
                <w:lang w:val="en-US"/>
              </w:rPr>
              <w:lastRenderedPageBreak/>
              <w:t>–</w:t>
            </w:r>
            <w:r w:rsidR="00161F35" w:rsidRPr="00161F35">
              <w:rPr>
                <w:rFonts w:cs="Times New Roman"/>
                <w:szCs w:val="28"/>
                <w:lang w:val="en-US"/>
              </w:rPr>
              <w:t xml:space="preserve"> work with sources and with basic literature on the historiography of the history of the Russian Church;</w:t>
            </w:r>
          </w:p>
          <w:p w:rsidR="00161F35" w:rsidRPr="00161F35" w:rsidRDefault="001B0213" w:rsidP="00161F35">
            <w:pPr>
              <w:spacing w:line="240" w:lineRule="auto"/>
              <w:ind w:firstLine="0"/>
              <w:rPr>
                <w:rFonts w:cs="Times New Roman"/>
                <w:szCs w:val="28"/>
                <w:lang w:val="en-US"/>
              </w:rPr>
            </w:pPr>
            <w:r w:rsidRPr="001B0213">
              <w:rPr>
                <w:rFonts w:cs="Times New Roman"/>
                <w:szCs w:val="28"/>
                <w:lang w:val="en-US"/>
              </w:rPr>
              <w:t>–</w:t>
            </w:r>
            <w:r w:rsidR="00161F35" w:rsidRPr="00161F35">
              <w:rPr>
                <w:rFonts w:cs="Times New Roman"/>
                <w:szCs w:val="28"/>
                <w:lang w:val="en-US"/>
              </w:rPr>
              <w:t xml:space="preserve"> navigate the history of church-state relations;</w:t>
            </w:r>
          </w:p>
          <w:p w:rsidR="00161F35" w:rsidRPr="00161F35" w:rsidRDefault="00161F35" w:rsidP="00161F35">
            <w:pPr>
              <w:spacing w:line="240" w:lineRule="auto"/>
              <w:ind w:firstLine="0"/>
              <w:rPr>
                <w:rFonts w:cs="Times New Roman"/>
                <w:b/>
                <w:szCs w:val="28"/>
                <w:lang w:val="en-US"/>
              </w:rPr>
            </w:pPr>
            <w:r w:rsidRPr="00161F35">
              <w:rPr>
                <w:rFonts w:cs="Times New Roman"/>
                <w:b/>
                <w:szCs w:val="28"/>
                <w:lang w:val="en-US"/>
              </w:rPr>
              <w:t>possess:</w:t>
            </w:r>
          </w:p>
          <w:p w:rsidR="002E54AE" w:rsidRPr="001B0213" w:rsidRDefault="00161F35" w:rsidP="001B0213">
            <w:pPr>
              <w:pStyle w:val="a3"/>
              <w:numPr>
                <w:ilvl w:val="0"/>
                <w:numId w:val="1"/>
              </w:numPr>
              <w:spacing w:line="240" w:lineRule="auto"/>
              <w:rPr>
                <w:rFonts w:ascii="Times New Roman" w:hAnsi="Times New Roman"/>
                <w:sz w:val="28"/>
                <w:szCs w:val="28"/>
                <w:lang w:val="en-US"/>
              </w:rPr>
            </w:pPr>
            <w:r w:rsidRPr="001B0213">
              <w:rPr>
                <w:rFonts w:ascii="Times New Roman" w:hAnsi="Times New Roman"/>
                <w:sz w:val="28"/>
                <w:szCs w:val="28"/>
                <w:lang w:val="en-US"/>
              </w:rPr>
              <w:t>the conceptual apparatus of church history.</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161F35">
            <w:pPr>
              <w:spacing w:line="240" w:lineRule="auto"/>
              <w:ind w:firstLine="0"/>
              <w:jc w:val="center"/>
              <w:rPr>
                <w:rFonts w:cs="Times New Roman"/>
                <w:szCs w:val="28"/>
              </w:rPr>
            </w:pPr>
            <w:r>
              <w:rPr>
                <w:rFonts w:cs="Times New Roman"/>
                <w:szCs w:val="28"/>
              </w:rPr>
              <w:t>5-6</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161F35">
            <w:pPr>
              <w:spacing w:line="240" w:lineRule="auto"/>
              <w:ind w:firstLine="0"/>
              <w:jc w:val="center"/>
              <w:rPr>
                <w:rFonts w:cs="Times New Roman"/>
                <w:szCs w:val="28"/>
              </w:rPr>
            </w:pPr>
            <w:r>
              <w:rPr>
                <w:rFonts w:cs="Times New Roman"/>
                <w:szCs w:val="28"/>
              </w:rPr>
              <w:t>5-6</w:t>
            </w:r>
            <w:r w:rsidR="002E54AE">
              <w:rPr>
                <w:rFonts w:cs="Times New Roman"/>
                <w:szCs w:val="28"/>
              </w:rPr>
              <w:t xml:space="preserve"> </w:t>
            </w:r>
            <w:proofErr w:type="spellStart"/>
            <w:r w:rsidR="002E54AE">
              <w:rPr>
                <w:rFonts w:cs="Times New Roman"/>
                <w:szCs w:val="28"/>
              </w:rPr>
              <w:t>semester</w:t>
            </w:r>
            <w:proofErr w:type="spellEnd"/>
          </w:p>
        </w:tc>
      </w:tr>
      <w:tr w:rsidR="002E54AE" w:rsidRPr="00DE0F0A"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Default="00161F35" w:rsidP="002E54AE">
            <w:pPr>
              <w:spacing w:line="240" w:lineRule="auto"/>
              <w:ind w:firstLine="0"/>
              <w:rPr>
                <w:rFonts w:cs="Times New Roman"/>
                <w:szCs w:val="28"/>
              </w:rPr>
            </w:pPr>
            <w:r>
              <w:rPr>
                <w:rFonts w:cs="Times New Roman"/>
                <w:szCs w:val="28"/>
              </w:rPr>
              <w:t>История Древней церкви</w:t>
            </w:r>
          </w:p>
        </w:tc>
        <w:tc>
          <w:tcPr>
            <w:tcW w:w="5245" w:type="dxa"/>
            <w:tcBorders>
              <w:top w:val="single" w:sz="4" w:space="0" w:color="auto"/>
              <w:left w:val="single" w:sz="4" w:space="0" w:color="auto"/>
              <w:bottom w:val="single" w:sz="4" w:space="0" w:color="auto"/>
              <w:right w:val="single" w:sz="4" w:space="0" w:color="auto"/>
            </w:tcBorders>
            <w:hideMark/>
          </w:tcPr>
          <w:p w:rsidR="002E54AE" w:rsidRPr="002E54AE" w:rsidRDefault="00161F35" w:rsidP="002E54AE">
            <w:pPr>
              <w:spacing w:line="240" w:lineRule="auto"/>
              <w:ind w:firstLine="0"/>
              <w:rPr>
                <w:rFonts w:cs="Times New Roman"/>
                <w:szCs w:val="28"/>
                <w:lang w:val="en-US"/>
              </w:rPr>
            </w:pPr>
            <w:r w:rsidRPr="00161F35">
              <w:rPr>
                <w:rFonts w:cs="Times New Roman"/>
                <w:szCs w:val="28"/>
                <w:lang w:val="en-US"/>
              </w:rPr>
              <w:t>History of the Ancient Church</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161F35">
            <w:pPr>
              <w:spacing w:line="240" w:lineRule="auto"/>
              <w:ind w:firstLine="0"/>
              <w:jc w:val="center"/>
              <w:rPr>
                <w:rFonts w:cs="Times New Roman"/>
                <w:szCs w:val="28"/>
              </w:rPr>
            </w:pPr>
            <w:r>
              <w:rPr>
                <w:rFonts w:cs="Times New Roman"/>
                <w:szCs w:val="28"/>
              </w:rPr>
              <w:t>8</w:t>
            </w:r>
            <w:r w:rsidR="002E54AE">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161F35">
            <w:pPr>
              <w:spacing w:line="240" w:lineRule="auto"/>
              <w:ind w:firstLine="0"/>
              <w:jc w:val="center"/>
              <w:rPr>
                <w:rFonts w:cs="Times New Roman"/>
                <w:szCs w:val="28"/>
              </w:rPr>
            </w:pPr>
            <w:r>
              <w:rPr>
                <w:rFonts w:cs="Times New Roman"/>
                <w:szCs w:val="28"/>
              </w:rPr>
              <w:t>8</w:t>
            </w:r>
            <w:r w:rsidR="00891EFD">
              <w:rPr>
                <w:rFonts w:cs="Times New Roman"/>
                <w:szCs w:val="28"/>
              </w:rPr>
              <w:t>_</w:t>
            </w:r>
            <w:r w:rsidR="002E54AE">
              <w:rPr>
                <w:rFonts w:cs="Times New Roman"/>
                <w:szCs w:val="28"/>
              </w:rPr>
              <w:t xml:space="preserve"> </w:t>
            </w:r>
            <w:proofErr w:type="spellStart"/>
            <w:r w:rsidR="002E54AE">
              <w:rPr>
                <w:rFonts w:cs="Times New Roman"/>
                <w:szCs w:val="28"/>
              </w:rPr>
              <w:t>credits</w:t>
            </w:r>
            <w:proofErr w:type="spellEnd"/>
          </w:p>
        </w:tc>
      </w:tr>
      <w:tr w:rsidR="002E54AE" w:rsidRPr="00DE0F0A"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161F35">
            <w:pPr>
              <w:spacing w:line="240" w:lineRule="auto"/>
              <w:ind w:firstLine="0"/>
              <w:jc w:val="center"/>
              <w:rPr>
                <w:rFonts w:cs="Times New Roman"/>
                <w:szCs w:val="28"/>
              </w:rPr>
            </w:pPr>
            <w:r>
              <w:rPr>
                <w:rFonts w:cs="Times New Roman"/>
                <w:szCs w:val="28"/>
              </w:rPr>
              <w:t>144</w:t>
            </w:r>
            <w:r w:rsidR="002E54AE">
              <w:rPr>
                <w:rFonts w:cs="Times New Roman"/>
                <w:szCs w:val="28"/>
              </w:rPr>
              <w:t xml:space="preserve"> аудиторных часа /</w:t>
            </w:r>
          </w:p>
          <w:p w:rsidR="002E54AE" w:rsidRDefault="00DE0F0A">
            <w:pPr>
              <w:spacing w:line="240" w:lineRule="auto"/>
              <w:ind w:firstLine="0"/>
              <w:jc w:val="center"/>
              <w:rPr>
                <w:rFonts w:cs="Times New Roman"/>
                <w:szCs w:val="28"/>
              </w:rPr>
            </w:pPr>
            <w:r>
              <w:rPr>
                <w:rFonts w:cs="Times New Roman"/>
                <w:szCs w:val="28"/>
              </w:rPr>
              <w:t>70</w:t>
            </w:r>
            <w:r w:rsidR="002E54AE">
              <w:rPr>
                <w:rFonts w:cs="Times New Roman"/>
                <w:szCs w:val="28"/>
              </w:rPr>
              <w:t xml:space="preserve">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DE0F0A">
            <w:pPr>
              <w:spacing w:line="240" w:lineRule="auto"/>
              <w:ind w:firstLine="0"/>
              <w:jc w:val="center"/>
              <w:rPr>
                <w:rFonts w:cs="Times New Roman"/>
                <w:szCs w:val="28"/>
                <w:lang w:val="en-US"/>
              </w:rPr>
            </w:pPr>
            <w:r>
              <w:rPr>
                <w:rFonts w:cs="Times New Roman"/>
                <w:szCs w:val="28"/>
                <w:lang w:val="en-US"/>
              </w:rPr>
              <w:t>1</w:t>
            </w:r>
            <w:r w:rsidR="00161F35" w:rsidRPr="001B0213">
              <w:rPr>
                <w:rFonts w:cs="Times New Roman"/>
                <w:szCs w:val="28"/>
                <w:lang w:val="en-US"/>
              </w:rPr>
              <w:t>44</w:t>
            </w:r>
            <w:r w:rsidR="002E54AE">
              <w:rPr>
                <w:rFonts w:cs="Times New Roman"/>
                <w:szCs w:val="28"/>
                <w:lang w:val="en-US"/>
              </w:rPr>
              <w:t xml:space="preserve"> classroom hours /</w:t>
            </w:r>
          </w:p>
          <w:p w:rsidR="002E54AE" w:rsidRDefault="00DE0F0A">
            <w:pPr>
              <w:spacing w:line="240" w:lineRule="auto"/>
              <w:ind w:firstLine="0"/>
              <w:jc w:val="center"/>
              <w:rPr>
                <w:rFonts w:cs="Times New Roman"/>
                <w:szCs w:val="28"/>
                <w:lang w:val="en-US"/>
              </w:rPr>
            </w:pPr>
            <w:r>
              <w:rPr>
                <w:rFonts w:cs="Times New Roman"/>
                <w:szCs w:val="28"/>
              </w:rPr>
              <w:t>70</w:t>
            </w:r>
            <w:bookmarkStart w:id="0" w:name="_GoBack"/>
            <w:bookmarkEnd w:id="0"/>
            <w:r w:rsidR="002E54AE">
              <w:rPr>
                <w:rFonts w:cs="Times New Roman"/>
                <w:szCs w:val="28"/>
                <w:lang w:val="en-US"/>
              </w:rPr>
              <w:t xml:space="preserve"> hours of independent work</w:t>
            </w:r>
          </w:p>
        </w:tc>
      </w:tr>
      <w:tr w:rsidR="002E54AE" w:rsidRPr="000B50D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161F35">
            <w:pPr>
              <w:spacing w:line="240" w:lineRule="auto"/>
              <w:ind w:firstLine="0"/>
              <w:rPr>
                <w:rFonts w:cs="Times New Roman"/>
                <w:szCs w:val="28"/>
              </w:rPr>
            </w:pPr>
            <w:r>
              <w:rPr>
                <w:rFonts w:cs="Times New Roman"/>
                <w:szCs w:val="28"/>
              </w:rPr>
              <w:t>Экзамен</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161F35">
            <w:pPr>
              <w:spacing w:line="240" w:lineRule="auto"/>
              <w:ind w:firstLine="0"/>
              <w:rPr>
                <w:rFonts w:cs="Times New Roman"/>
                <w:szCs w:val="28"/>
                <w:lang w:val="en-US"/>
              </w:rPr>
            </w:pPr>
            <w:r>
              <w:rPr>
                <w:rFonts w:cs="Times New Roman"/>
                <w:szCs w:val="28"/>
                <w:lang w:val="en-US"/>
              </w:rPr>
              <w:t xml:space="preserve">Exam </w:t>
            </w: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B50DE"/>
    <w:rsid w:val="000C0C55"/>
    <w:rsid w:val="00161F35"/>
    <w:rsid w:val="001B0213"/>
    <w:rsid w:val="00297371"/>
    <w:rsid w:val="002E54AE"/>
    <w:rsid w:val="004F6C86"/>
    <w:rsid w:val="006F4E33"/>
    <w:rsid w:val="0086430C"/>
    <w:rsid w:val="00891EFD"/>
    <w:rsid w:val="009B38A3"/>
    <w:rsid w:val="00D26797"/>
    <w:rsid w:val="00DE0F0A"/>
    <w:rsid w:val="00E60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8697"/>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12</cp:revision>
  <dcterms:created xsi:type="dcterms:W3CDTF">2025-01-14T10:49:00Z</dcterms:created>
  <dcterms:modified xsi:type="dcterms:W3CDTF">2025-01-28T09:05:00Z</dcterms:modified>
</cp:coreProperties>
</file>