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3C" w:rsidRDefault="00603DEB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Специальность / Special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ty: </w:t>
      </w:r>
      <w:r w:rsidR="00321F23">
        <w:rPr>
          <w:rFonts w:cs="Times New Roman"/>
          <w:bCs/>
          <w:szCs w:val="28"/>
          <w:lang w:eastAsia="zh-CN"/>
        </w:rPr>
        <w:t>1</w:t>
      </w:r>
      <w:r>
        <w:rPr>
          <w:rFonts w:cs="Times New Roman"/>
          <w:bCs/>
          <w:szCs w:val="28"/>
          <w:lang w:eastAsia="zh-CN"/>
        </w:rPr>
        <w:t>-</w:t>
      </w:r>
      <w:r w:rsidR="00321F23">
        <w:rPr>
          <w:rFonts w:cs="Times New Roman"/>
          <w:bCs/>
          <w:szCs w:val="28"/>
          <w:lang w:eastAsia="zh-CN"/>
        </w:rPr>
        <w:t xml:space="preserve">21 </w:t>
      </w:r>
      <w:r>
        <w:rPr>
          <w:rFonts w:cs="Times New Roman"/>
          <w:bCs/>
          <w:szCs w:val="28"/>
          <w:lang w:eastAsia="zh-CN"/>
        </w:rPr>
        <w:t>01</w:t>
      </w:r>
      <w:r w:rsidR="00321F23">
        <w:rPr>
          <w:rFonts w:cs="Times New Roman"/>
          <w:bCs/>
          <w:szCs w:val="28"/>
          <w:lang w:eastAsia="zh-CN"/>
        </w:rPr>
        <w:t xml:space="preserve"> 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</w:rPr>
        <w:t xml:space="preserve">Теология </w:t>
      </w:r>
      <w:r>
        <w:rPr>
          <w:rFonts w:cs="Times New Roman"/>
          <w:szCs w:val="28"/>
          <w:lang w:val="en-US"/>
        </w:rPr>
        <w:t xml:space="preserve">/ </w:t>
      </w:r>
      <w:r w:rsidR="00321F23">
        <w:rPr>
          <w:rFonts w:cs="Times New Roman"/>
          <w:bCs/>
          <w:szCs w:val="28"/>
          <w:lang w:eastAsia="zh-CN"/>
        </w:rPr>
        <w:t>1-21 01 01</w:t>
      </w:r>
      <w:r w:rsidR="00321F23"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5B5B3C" w:rsidRDefault="00603DEB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5B5B3C" w:rsidRPr="00321F23" w:rsidRDefault="00603DEB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 w:rsidRPr="00321F23">
        <w:rPr>
          <w:rFonts w:cs="Times New Roman"/>
          <w:szCs w:val="28"/>
        </w:rPr>
        <w:t>Сравнительное</w:t>
      </w:r>
      <w:r w:rsidRPr="00321F23">
        <w:rPr>
          <w:rFonts w:cs="Times New Roman"/>
          <w:szCs w:val="28"/>
          <w:lang w:val="en-US"/>
        </w:rPr>
        <w:t xml:space="preserve"> </w:t>
      </w:r>
      <w:r w:rsidRPr="00321F23">
        <w:rPr>
          <w:rFonts w:cs="Times New Roman"/>
          <w:szCs w:val="28"/>
        </w:rPr>
        <w:t>богословие</w:t>
      </w:r>
      <w:r w:rsidR="00321F23" w:rsidRPr="00321F23">
        <w:rPr>
          <w:rFonts w:cs="Times New Roman"/>
          <w:color w:val="000000" w:themeColor="text1"/>
          <w:spacing w:val="-2"/>
          <w:szCs w:val="28"/>
          <w:lang w:val="en-US"/>
        </w:rPr>
        <w:t>,</w:t>
      </w:r>
      <w:r w:rsidRPr="00321F23">
        <w:rPr>
          <w:rFonts w:cs="Times New Roman"/>
          <w:szCs w:val="28"/>
          <w:lang w:val="en-US"/>
        </w:rPr>
        <w:t xml:space="preserve"> </w:t>
      </w:r>
      <w:r w:rsidRPr="00321F23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Pr="00321F23">
        <w:rPr>
          <w:rFonts w:cs="Times New Roman"/>
          <w:szCs w:val="28"/>
          <w:lang w:val="en-US"/>
        </w:rPr>
        <w:t xml:space="preserve"> </w:t>
      </w:r>
      <w:r w:rsidRPr="00321F23">
        <w:rPr>
          <w:rFonts w:cs="Times New Roman"/>
          <w:szCs w:val="28"/>
          <w:lang w:val="en-US"/>
        </w:rPr>
        <w:t>Comparative</w:t>
      </w:r>
      <w:r w:rsidRPr="00321F23">
        <w:rPr>
          <w:rFonts w:cs="Times New Roman"/>
          <w:szCs w:val="28"/>
          <w:lang w:val="en-US"/>
        </w:rPr>
        <w:t xml:space="preserve"> </w:t>
      </w:r>
      <w:r w:rsidRPr="00321F23">
        <w:rPr>
          <w:rFonts w:cs="Times New Roman"/>
          <w:szCs w:val="28"/>
          <w:lang w:val="en-US"/>
        </w:rPr>
        <w:t>theology</w:t>
      </w:r>
    </w:p>
    <w:p w:rsidR="005B5B3C" w:rsidRPr="00321F23" w:rsidRDefault="005B5B3C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ff0"/>
        <w:tblW w:w="15163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5B5B3C" w:rsidRPr="00321F2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C" w:rsidRDefault="00603DE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C" w:rsidRDefault="00603DEB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t>Изучение краткой истории и наиболее существенных догматических расхождений основных неправославных исповеданий: Римско-Католическая Церковь, традиционные протестантские конфессии (лютеранство, к</w:t>
            </w:r>
            <w:r>
              <w:t xml:space="preserve">альвинизм, англиканство) и другие познейшие  проестантские номинации.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C" w:rsidRPr="00100D73" w:rsidRDefault="00603DEB" w:rsidP="00100D73">
            <w:pPr>
              <w:spacing w:line="240" w:lineRule="auto"/>
              <w:ind w:firstLine="0"/>
              <w:rPr>
                <w:lang w:val="en-US"/>
              </w:rPr>
            </w:pPr>
            <w:r w:rsidRPr="00100D73">
              <w:rPr>
                <w:lang w:val="en-US"/>
              </w:rPr>
              <w:t xml:space="preserve">Study of a brief history and the most significant dogmatic differences of the main non-Orthodox confession: the Roman Catholic Church, Protestant denominations (Lutheranism, Calvinism, </w:t>
            </w:r>
            <w:r w:rsidRPr="00100D73">
              <w:rPr>
                <w:lang w:val="en-US"/>
              </w:rPr>
              <w:t>Anglicanism) and other</w:t>
            </w:r>
            <w:r w:rsidR="00100D73" w:rsidRPr="00100D73">
              <w:rPr>
                <w:lang w:val="en-US"/>
              </w:rPr>
              <w:t xml:space="preserve"> latest protestant nominations.</w:t>
            </w:r>
          </w:p>
          <w:p w:rsidR="005B5B3C" w:rsidRPr="00100D73" w:rsidRDefault="005B5B3C">
            <w:pPr>
              <w:spacing w:line="240" w:lineRule="auto"/>
              <w:ind w:firstLine="0"/>
              <w:rPr>
                <w:rFonts w:eastAsia="Calibri" w:cs="Times New Roman"/>
                <w:szCs w:val="26"/>
                <w:lang w:val="en-US"/>
              </w:rPr>
            </w:pPr>
          </w:p>
        </w:tc>
      </w:tr>
      <w:tr w:rsidR="005B5B3C" w:rsidRPr="00321F2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C" w:rsidRDefault="00603DE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C" w:rsidRDefault="00603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универсальная </w:t>
            </w:r>
            <w:r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:rsidR="005B5B3C" w:rsidRDefault="00603DEB">
            <w:pPr>
              <w:pStyle w:val="aff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УК-4. Работать в команде, толерантно воспринимать социальные, этнические, конфессиональные, культурные и иные различия;</w:t>
            </w:r>
          </w:p>
          <w:p w:rsidR="005B5B3C" w:rsidRDefault="00603DEB">
            <w:pPr>
              <w:pStyle w:val="aff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УК-14. Владеть комплексным и междисциплинарным подходом при решении профессиональных задач.</w:t>
            </w:r>
          </w:p>
          <w:p w:rsidR="005B5B3C" w:rsidRDefault="00603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базовая профессиональная </w:t>
            </w:r>
            <w:r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:rsidR="005B5B3C" w:rsidRDefault="00603DEB">
            <w:pPr>
              <w:pStyle w:val="aff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БПК-1. Быть способным к восприятию, обобщению и анализу мировоззренческих, философских, социально и личностно значимых проблем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на основе цельного христианского миропонимания;</w:t>
            </w:r>
          </w:p>
          <w:p w:rsidR="005B5B3C" w:rsidRDefault="00603DEB">
            <w:pPr>
              <w:pStyle w:val="aff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БПК-2. Использовать основы теологических знаний для </w:t>
            </w:r>
            <w:r>
              <w:rPr>
                <w:rFonts w:ascii="Times New Roman" w:hAnsi="Times New Roman"/>
                <w:sz w:val="28"/>
                <w:szCs w:val="26"/>
              </w:rPr>
              <w:lastRenderedPageBreak/>
              <w:t>формирования христианской мировоззренческой позиции;</w:t>
            </w:r>
          </w:p>
          <w:p w:rsidR="005B5B3C" w:rsidRDefault="00603DEB">
            <w:pPr>
              <w:pStyle w:val="aff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БПК-3. Использовать знания философских, религиоведческих, исторических, церковно-исторических, культур</w:t>
            </w:r>
            <w:r>
              <w:rPr>
                <w:rFonts w:ascii="Times New Roman" w:hAnsi="Times New Roman"/>
                <w:sz w:val="28"/>
                <w:szCs w:val="26"/>
              </w:rPr>
              <w:t>ологических наук в профессиональной деятельности;</w:t>
            </w:r>
          </w:p>
          <w:p w:rsidR="005B5B3C" w:rsidRDefault="00603DEB">
            <w:pPr>
              <w:pStyle w:val="aff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БПК-11. Выявлять специфику внутрицерковных отношений, историю возникновения ересей и расколов и борьбы Церкви с ними;</w:t>
            </w:r>
          </w:p>
          <w:p w:rsidR="005B5B3C" w:rsidRDefault="00603DEB">
            <w:pPr>
              <w:pStyle w:val="aff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БПК-12. Понимать сущность религиозного мировоззрения, аргументировать исключительность х</w:t>
            </w:r>
            <w:r>
              <w:rPr>
                <w:rFonts w:ascii="Times New Roman" w:hAnsi="Times New Roman"/>
                <w:sz w:val="28"/>
                <w:szCs w:val="26"/>
              </w:rPr>
              <w:t>ристианского Откровения по отношению к иным религиозным, философским и культурным феноменам, рационально обосновывать и защищать основные положения православного вероучения;</w:t>
            </w:r>
          </w:p>
          <w:p w:rsidR="005B5B3C" w:rsidRPr="00100D73" w:rsidRDefault="00603DEB" w:rsidP="00100D73">
            <w:pPr>
              <w:pStyle w:val="aff"/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БПК-13. Выявлять тенденции развития богословия в западной христианской традиции, о</w:t>
            </w:r>
            <w:r>
              <w:rPr>
                <w:rFonts w:ascii="Times New Roman" w:hAnsi="Times New Roman"/>
                <w:sz w:val="28"/>
                <w:szCs w:val="26"/>
              </w:rPr>
              <w:t>пределять вероучительные отличия западных исповеданий от учения Православной церкви.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C" w:rsidRPr="00100D73" w:rsidRDefault="00603DEB" w:rsidP="00100D73">
            <w:pPr>
              <w:spacing w:line="240" w:lineRule="auto"/>
              <w:ind w:left="31" w:firstLine="0"/>
            </w:pPr>
            <w:r w:rsidRPr="00100D73">
              <w:lastRenderedPageBreak/>
              <w:t>universal competence:</w:t>
            </w:r>
          </w:p>
          <w:p w:rsidR="005B5B3C" w:rsidRPr="00100D73" w:rsidRDefault="00603DEB" w:rsidP="00100D73">
            <w:pPr>
              <w:spacing w:line="240" w:lineRule="auto"/>
              <w:ind w:left="31" w:firstLine="0"/>
            </w:pPr>
            <w:r w:rsidRPr="00100D73">
              <w:t>– U</w:t>
            </w:r>
            <w:r w:rsidRPr="00100D73">
              <w:t>С</w:t>
            </w:r>
            <w:r w:rsidRPr="00100D73">
              <w:t>-4 To work in a team, to perceive social, ethnic, religious, cultural and other differences in a tolerant manner. </w:t>
            </w:r>
          </w:p>
          <w:p w:rsidR="005B5B3C" w:rsidRPr="00100D73" w:rsidRDefault="00603DEB" w:rsidP="00100D73">
            <w:pPr>
              <w:spacing w:line="240" w:lineRule="auto"/>
              <w:ind w:left="31" w:firstLine="0"/>
            </w:pPr>
            <w:r w:rsidRPr="00100D73">
              <w:t>– U</w:t>
            </w:r>
            <w:r w:rsidRPr="00100D73">
              <w:t>С</w:t>
            </w:r>
            <w:r w:rsidRPr="00100D73">
              <w:t>-14 Possess a comprehensi</w:t>
            </w:r>
            <w:r w:rsidRPr="00100D73">
              <w:t>ve and interdisciplinary approach to solving professional problems.</w:t>
            </w:r>
          </w:p>
          <w:p w:rsidR="005B5B3C" w:rsidRPr="00100D73" w:rsidRDefault="00603DEB" w:rsidP="00100D73">
            <w:pPr>
              <w:spacing w:line="240" w:lineRule="auto"/>
              <w:ind w:left="31" w:firstLine="0"/>
            </w:pPr>
            <w:r w:rsidRPr="00100D73">
              <w:t>basic professional competence:</w:t>
            </w:r>
          </w:p>
          <w:p w:rsidR="005B5B3C" w:rsidRPr="00100D73" w:rsidRDefault="00100D73" w:rsidP="00100D73">
            <w:pPr>
              <w:spacing w:line="240" w:lineRule="auto"/>
              <w:ind w:left="31" w:firstLine="0"/>
            </w:pPr>
            <w:r>
              <w:t xml:space="preserve">– </w:t>
            </w:r>
            <w:r w:rsidR="00603DEB" w:rsidRPr="00100D73">
              <w:t>BPC–1. Be capable of perceiving, generalizing and analyzing worldview, philosophical, socially and personally significant problems on the basis of an integral Christian worldview;</w:t>
            </w:r>
          </w:p>
          <w:p w:rsidR="005B5B3C" w:rsidRPr="00100D73" w:rsidRDefault="00100D73" w:rsidP="00100D73">
            <w:pPr>
              <w:spacing w:line="240" w:lineRule="auto"/>
              <w:ind w:left="31" w:firstLine="0"/>
            </w:pPr>
            <w:r>
              <w:t xml:space="preserve">– </w:t>
            </w:r>
            <w:r w:rsidR="00603DEB" w:rsidRPr="00100D73">
              <w:t>BPK-2. Use the basics of theological knowledge to form a Christian worl</w:t>
            </w:r>
            <w:r w:rsidR="00603DEB" w:rsidRPr="00100D73">
              <w:t>dview position;</w:t>
            </w:r>
          </w:p>
          <w:p w:rsidR="005B5B3C" w:rsidRPr="00100D73" w:rsidRDefault="00100D73" w:rsidP="00100D73">
            <w:pPr>
              <w:spacing w:line="240" w:lineRule="auto"/>
              <w:ind w:left="31" w:firstLine="0"/>
            </w:pPr>
            <w:r>
              <w:t>–</w:t>
            </w:r>
            <w:r w:rsidR="00603DEB" w:rsidRPr="00100D73">
              <w:t xml:space="preserve"> BPK-3. Use knowledge of philosophical, religious, historical, church-historical, cultural sciences in professional activities;</w:t>
            </w:r>
          </w:p>
          <w:p w:rsidR="005B5B3C" w:rsidRPr="00100D73" w:rsidRDefault="00100D73" w:rsidP="00100D73">
            <w:pPr>
              <w:spacing w:line="240" w:lineRule="auto"/>
              <w:ind w:left="31" w:firstLine="0"/>
            </w:pPr>
            <w:r>
              <w:lastRenderedPageBreak/>
              <w:t>–</w:t>
            </w:r>
            <w:r w:rsidR="00603DEB" w:rsidRPr="00100D73">
              <w:t xml:space="preserve"> BPK-11. Identify the specifics of intra-church relations, the history of the emergence of heresies and schism</w:t>
            </w:r>
            <w:r w:rsidR="00603DEB" w:rsidRPr="00100D73">
              <w:t>s and the Church’s struggle against them;</w:t>
            </w:r>
          </w:p>
          <w:p w:rsidR="005B5B3C" w:rsidRPr="00100D73" w:rsidRDefault="00100D73" w:rsidP="00100D73">
            <w:pPr>
              <w:spacing w:line="240" w:lineRule="auto"/>
              <w:ind w:left="31" w:firstLine="0"/>
            </w:pPr>
            <w:r>
              <w:t>–</w:t>
            </w:r>
            <w:r w:rsidR="00603DEB" w:rsidRPr="00100D73">
              <w:t xml:space="preserve"> BPK-12. Understand the essence of the religious worldview, argue for the exclusivity of the Christian Revelation in relation to other religious, philosophical and cultural phenomena, rationally justify and defend</w:t>
            </w:r>
            <w:r w:rsidR="00603DEB" w:rsidRPr="00100D73">
              <w:t xml:space="preserve"> the main provisions of the Orthodox doctrine;</w:t>
            </w:r>
          </w:p>
          <w:p w:rsidR="005B5B3C" w:rsidRPr="00100D73" w:rsidRDefault="00100D73" w:rsidP="00100D73">
            <w:pPr>
              <w:spacing w:line="240" w:lineRule="auto"/>
              <w:ind w:left="31" w:firstLine="0"/>
            </w:pPr>
            <w:r>
              <w:t>–</w:t>
            </w:r>
            <w:r w:rsidR="00603DEB" w:rsidRPr="00100D73">
              <w:t xml:space="preserve"> BPK-13. Identify trends in the development of theology in the Western Christian tradition, determine the doctrinal differences between Western confessions and the teachings of the Orthodox Church in relation</w:t>
            </w:r>
            <w:r w:rsidR="00603DEB" w:rsidRPr="00100D73">
              <w:t xml:space="preserve"> to other religious, philosophical and cultural phenomena, rationally justify and defend the main provisions of the Orthodox doctrine.</w:t>
            </w:r>
          </w:p>
          <w:p w:rsidR="005B5B3C" w:rsidRPr="004D7C7E" w:rsidRDefault="005B5B3C">
            <w:pPr>
              <w:spacing w:line="240" w:lineRule="auto"/>
              <w:ind w:firstLine="0"/>
              <w:rPr>
                <w:rFonts w:eastAsia="Calibri" w:cs="Times New Roman"/>
                <w:szCs w:val="26"/>
              </w:rPr>
            </w:pPr>
          </w:p>
        </w:tc>
      </w:tr>
      <w:tr w:rsidR="005B5B3C" w:rsidRPr="00321F2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C" w:rsidRDefault="00603DE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73" w:rsidRDefault="00603DEB" w:rsidP="00100D73">
            <w:pPr>
              <w:spacing w:line="240" w:lineRule="auto"/>
              <w:ind w:left="41" w:firstLine="0"/>
              <w:rPr>
                <w:rFonts w:cs="Times New Roman"/>
                <w:b/>
                <w:i/>
                <w:spacing w:val="-2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Cs w:val="28"/>
              </w:rPr>
              <w:t>знать:</w:t>
            </w:r>
          </w:p>
          <w:p w:rsidR="005B5B3C" w:rsidRPr="00100D73" w:rsidRDefault="00603DEB" w:rsidP="00100D73">
            <w:pPr>
              <w:pStyle w:val="aff"/>
              <w:numPr>
                <w:ilvl w:val="0"/>
                <w:numId w:val="7"/>
              </w:numPr>
              <w:spacing w:after="0" w:line="240" w:lineRule="auto"/>
              <w:ind w:left="41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D73">
              <w:rPr>
                <w:rFonts w:ascii="Times New Roman" w:hAnsi="Times New Roman"/>
                <w:sz w:val="28"/>
                <w:szCs w:val="28"/>
              </w:rPr>
              <w:t>основные сход</w:t>
            </w:r>
            <w:r w:rsidRPr="00100D73">
              <w:rPr>
                <w:rFonts w:ascii="Times New Roman" w:hAnsi="Times New Roman"/>
                <w:sz w:val="28"/>
                <w:szCs w:val="28"/>
              </w:rPr>
              <w:t>ства и различия между Православием и Католичеством;</w:t>
            </w:r>
          </w:p>
          <w:p w:rsidR="005B5B3C" w:rsidRDefault="00603DEB" w:rsidP="00100D73">
            <w:pPr>
              <w:pStyle w:val="aff2"/>
              <w:numPr>
                <w:ilvl w:val="0"/>
                <w:numId w:val="7"/>
              </w:numPr>
              <w:ind w:left="41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 xml:space="preserve">ричины разделения между восточной и западными Церквями; </w:t>
            </w:r>
          </w:p>
          <w:p w:rsidR="005B5B3C" w:rsidRDefault="00603DEB" w:rsidP="00100D73">
            <w:pPr>
              <w:pStyle w:val="aff2"/>
              <w:numPr>
                <w:ilvl w:val="0"/>
                <w:numId w:val="7"/>
              </w:numPr>
              <w:ind w:left="41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отличительные особенности протестантских номинаций;</w:t>
            </w:r>
          </w:p>
          <w:p w:rsidR="005B5B3C" w:rsidRDefault="00603DEB" w:rsidP="00100D73">
            <w:pPr>
              <w:pStyle w:val="aff2"/>
              <w:numPr>
                <w:ilvl w:val="0"/>
                <w:numId w:val="7"/>
              </w:numPr>
              <w:ind w:left="41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современных научных исследований в области сравнительного богословия.</w:t>
            </w:r>
          </w:p>
          <w:p w:rsidR="005B5B3C" w:rsidRDefault="00603DEB" w:rsidP="00100D73">
            <w:pPr>
              <w:tabs>
                <w:tab w:val="left" w:pos="1134"/>
              </w:tabs>
              <w:spacing w:line="240" w:lineRule="auto"/>
              <w:ind w:left="41" w:firstLine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уметь</w:t>
            </w:r>
            <w:r>
              <w:rPr>
                <w:rFonts w:cs="Times New Roman"/>
                <w:i/>
                <w:szCs w:val="28"/>
              </w:rPr>
              <w:t>:</w:t>
            </w:r>
          </w:p>
          <w:p w:rsidR="005B5B3C" w:rsidRDefault="00603DEB" w:rsidP="00100D73">
            <w:pPr>
              <w:pStyle w:val="aff2"/>
              <w:numPr>
                <w:ilvl w:val="0"/>
                <w:numId w:val="7"/>
              </w:numPr>
              <w:ind w:left="0" w:firstLine="4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раскрывать сущность основных православных догматов;</w:t>
            </w:r>
          </w:p>
          <w:p w:rsidR="005B5B3C" w:rsidRDefault="00603DEB" w:rsidP="00100D73">
            <w:pPr>
              <w:pStyle w:val="aff2"/>
              <w:numPr>
                <w:ilvl w:val="0"/>
                <w:numId w:val="7"/>
              </w:numPr>
              <w:ind w:left="0" w:firstLine="4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выделять и интерпретировать основные католические догматы; </w:t>
            </w:r>
          </w:p>
          <w:p w:rsidR="005B5B3C" w:rsidRDefault="00603DEB" w:rsidP="00100D73">
            <w:pPr>
              <w:pStyle w:val="aff2"/>
              <w:numPr>
                <w:ilvl w:val="0"/>
                <w:numId w:val="7"/>
              </w:numPr>
              <w:ind w:left="0" w:firstLine="4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выделять и интерпретировать основные вероучительные положения Протестантизма; </w:t>
            </w:r>
          </w:p>
          <w:p w:rsidR="005B5B3C" w:rsidRDefault="00603DEB" w:rsidP="00100D73">
            <w:pPr>
              <w:pStyle w:val="aff2"/>
              <w:numPr>
                <w:ilvl w:val="0"/>
                <w:numId w:val="7"/>
              </w:numPr>
              <w:ind w:left="0" w:firstLine="4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анализировать основные формы ведения </w:t>
            </w:r>
            <w:r>
              <w:rPr>
                <w:sz w:val="28"/>
                <w:szCs w:val="28"/>
              </w:rPr>
              <w:t>межхристианского диалога;</w:t>
            </w:r>
          </w:p>
          <w:p w:rsidR="005B5B3C" w:rsidRDefault="00603DEB" w:rsidP="00100D73">
            <w:pPr>
              <w:pStyle w:val="aff2"/>
              <w:numPr>
                <w:ilvl w:val="0"/>
                <w:numId w:val="7"/>
              </w:numPr>
              <w:ind w:left="0" w:firstLine="466"/>
              <w:jc w:val="both"/>
              <w:rPr>
                <w:sz w:val="28"/>
                <w:szCs w:val="28"/>
              </w:rPr>
            </w:pPr>
            <w:r w:rsidRPr="004D7C7E">
              <w:rPr>
                <w:rFonts w:eastAsia="Calibri"/>
                <w:sz w:val="28"/>
                <w:szCs w:val="26"/>
                <w:lang w:eastAsia="en-US"/>
              </w:rPr>
              <w:t>выделять общее и</w:t>
            </w:r>
            <w:r>
              <w:rPr>
                <w:sz w:val="28"/>
                <w:szCs w:val="28"/>
              </w:rPr>
              <w:t xml:space="preserve"> отличительные положения в различных христианских вероисповеданиях; </w:t>
            </w:r>
          </w:p>
          <w:p w:rsidR="005B5B3C" w:rsidRDefault="00603DEB" w:rsidP="00100D73">
            <w:pPr>
              <w:pStyle w:val="aff2"/>
              <w:numPr>
                <w:ilvl w:val="0"/>
                <w:numId w:val="7"/>
              </w:numPr>
              <w:ind w:left="0" w:firstLine="4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аргументированно отвечать на вопросы об отличиях Православия от Католичества и Протестантизма.</w:t>
            </w:r>
          </w:p>
          <w:p w:rsidR="004D7C7E" w:rsidRPr="004D7C7E" w:rsidRDefault="004D7C7E" w:rsidP="00100D73">
            <w:pPr>
              <w:pStyle w:val="aff2"/>
              <w:ind w:left="41"/>
              <w:rPr>
                <w:b/>
                <w:i/>
                <w:sz w:val="28"/>
                <w:szCs w:val="28"/>
              </w:rPr>
            </w:pPr>
            <w:r w:rsidRPr="004D7C7E">
              <w:rPr>
                <w:b/>
                <w:i/>
                <w:sz w:val="28"/>
                <w:szCs w:val="28"/>
              </w:rPr>
              <w:t xml:space="preserve">иметь навык: </w:t>
            </w:r>
          </w:p>
          <w:p w:rsidR="004D7C7E" w:rsidRPr="003B67EC" w:rsidRDefault="004D7C7E" w:rsidP="00100D73">
            <w:pPr>
              <w:pStyle w:val="aff2"/>
              <w:numPr>
                <w:ilvl w:val="0"/>
                <w:numId w:val="8"/>
              </w:numPr>
              <w:ind w:left="0" w:firstLine="466"/>
              <w:jc w:val="both"/>
              <w:rPr>
                <w:sz w:val="28"/>
                <w:szCs w:val="28"/>
              </w:rPr>
            </w:pPr>
            <w:r w:rsidRPr="003B67EC">
              <w:rPr>
                <w:sz w:val="28"/>
                <w:szCs w:val="28"/>
              </w:rPr>
              <w:t>работы с данными источников по новейшей истории западных исповеданий;</w:t>
            </w:r>
          </w:p>
          <w:p w:rsidR="005B5B3C" w:rsidRPr="00100D73" w:rsidRDefault="004D7C7E" w:rsidP="00100D73">
            <w:pPr>
              <w:pStyle w:val="aff2"/>
              <w:numPr>
                <w:ilvl w:val="0"/>
                <w:numId w:val="8"/>
              </w:numPr>
              <w:ind w:left="0" w:firstLine="466"/>
              <w:jc w:val="both"/>
              <w:rPr>
                <w:sz w:val="28"/>
                <w:szCs w:val="28"/>
              </w:rPr>
            </w:pPr>
            <w:r w:rsidRPr="003B67EC">
              <w:rPr>
                <w:sz w:val="28"/>
                <w:szCs w:val="28"/>
              </w:rPr>
              <w:t xml:space="preserve">восприятия и анализа текстов, имеющих церковно-историческое содержание, приемами ведения </w:t>
            </w:r>
            <w:r w:rsidRPr="003B67EC">
              <w:rPr>
                <w:sz w:val="28"/>
                <w:szCs w:val="28"/>
              </w:rPr>
              <w:lastRenderedPageBreak/>
              <w:t>дискуссии и полемики, навыками публичной речи и письменного аргументированного изложения собственной точки зрения в об</w:t>
            </w:r>
            <w:r>
              <w:rPr>
                <w:sz w:val="28"/>
                <w:szCs w:val="28"/>
              </w:rPr>
              <w:t>ласти сравнительного богословия</w:t>
            </w:r>
            <w:r w:rsidRPr="003B67E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C" w:rsidRPr="004D7C7E" w:rsidRDefault="00603DEB">
            <w:pPr>
              <w:spacing w:line="240" w:lineRule="auto"/>
              <w:ind w:firstLine="0"/>
              <w:rPr>
                <w:rFonts w:eastAsia="Calibri" w:cs="Times New Roman"/>
                <w:szCs w:val="26"/>
              </w:rPr>
            </w:pPr>
            <w:r w:rsidRPr="004D7C7E">
              <w:rPr>
                <w:rFonts w:eastAsia="Calibri" w:cs="Times New Roman"/>
                <w:szCs w:val="26"/>
              </w:rPr>
              <w:lastRenderedPageBreak/>
              <w:t>know:</w:t>
            </w:r>
          </w:p>
          <w:p w:rsidR="005B5B3C" w:rsidRPr="004D7C7E" w:rsidRDefault="00603DEB">
            <w:pPr>
              <w:spacing w:line="240" w:lineRule="auto"/>
              <w:ind w:firstLine="0"/>
              <w:rPr>
                <w:rFonts w:eastAsia="Calibri" w:cs="Times New Roman"/>
                <w:szCs w:val="26"/>
              </w:rPr>
            </w:pPr>
            <w:r w:rsidRPr="004D7C7E">
              <w:rPr>
                <w:rFonts w:eastAsia="Calibri" w:cs="Times New Roman"/>
                <w:szCs w:val="26"/>
              </w:rPr>
              <w:t>– the main similarities and differences between Orthodoxy and Catholicism;</w:t>
            </w:r>
          </w:p>
          <w:p w:rsidR="005B5B3C" w:rsidRPr="00100D73" w:rsidRDefault="00603DEB" w:rsidP="00100D73">
            <w:pPr>
              <w:spacing w:line="240" w:lineRule="auto"/>
              <w:ind w:left="31" w:firstLine="0"/>
            </w:pPr>
            <w:r w:rsidRPr="00100D73">
              <w:lastRenderedPageBreak/>
              <w:t xml:space="preserve">– reasons for the division between the Eastern and Western Churches; </w:t>
            </w:r>
          </w:p>
          <w:p w:rsidR="005B5B3C" w:rsidRPr="00100D73" w:rsidRDefault="00603DEB" w:rsidP="00100D73">
            <w:pPr>
              <w:spacing w:line="240" w:lineRule="auto"/>
              <w:ind w:left="31" w:firstLine="0"/>
            </w:pPr>
            <w:r w:rsidRPr="00100D73">
              <w:t>– distinctive features of Protestant nominations;</w:t>
            </w:r>
          </w:p>
          <w:p w:rsidR="005B5B3C" w:rsidRPr="00100D73" w:rsidRDefault="00603DEB" w:rsidP="00100D73">
            <w:pPr>
              <w:spacing w:line="240" w:lineRule="auto"/>
              <w:ind w:left="31" w:firstLine="0"/>
            </w:pPr>
            <w:r w:rsidRPr="00100D73">
              <w:t>– the main directions of modern scientific research in the field of comparative theology.</w:t>
            </w:r>
          </w:p>
          <w:p w:rsidR="005B5B3C" w:rsidRPr="00100D73" w:rsidRDefault="005B5B3C" w:rsidP="00100D73">
            <w:pPr>
              <w:spacing w:line="240" w:lineRule="auto"/>
              <w:ind w:left="31" w:firstLine="0"/>
            </w:pPr>
          </w:p>
          <w:p w:rsidR="005B5B3C" w:rsidRPr="00100D73" w:rsidRDefault="00603DEB" w:rsidP="00100D73">
            <w:pPr>
              <w:spacing w:line="240" w:lineRule="auto"/>
              <w:ind w:left="31" w:firstLine="0"/>
            </w:pPr>
            <w:r w:rsidRPr="00100D73">
              <w:t>be able to:</w:t>
            </w:r>
          </w:p>
          <w:p w:rsidR="005B5B3C" w:rsidRPr="00100D73" w:rsidRDefault="00100D73" w:rsidP="00100D73">
            <w:pPr>
              <w:spacing w:line="240" w:lineRule="auto"/>
              <w:ind w:left="31" w:firstLine="0"/>
              <w:rPr>
                <w:lang w:val="en-US"/>
              </w:rPr>
            </w:pPr>
            <w:r w:rsidRPr="00100D73">
              <w:rPr>
                <w:lang w:val="en-US"/>
              </w:rPr>
              <w:t>–</w:t>
            </w:r>
            <w:r w:rsidR="00603DEB" w:rsidRPr="00100D73">
              <w:rPr>
                <w:lang w:val="en-US"/>
              </w:rPr>
              <w:t xml:space="preserve"> reveal the essence of the main Orthodox dogmas;</w:t>
            </w:r>
          </w:p>
          <w:p w:rsidR="005B5B3C" w:rsidRPr="00100D73" w:rsidRDefault="00100D73" w:rsidP="00100D73">
            <w:pPr>
              <w:spacing w:line="240" w:lineRule="auto"/>
              <w:ind w:left="31" w:firstLine="0"/>
              <w:rPr>
                <w:lang w:val="en-US"/>
              </w:rPr>
            </w:pPr>
            <w:r w:rsidRPr="00100D73">
              <w:rPr>
                <w:lang w:val="en-US"/>
              </w:rPr>
              <w:t>–</w:t>
            </w:r>
            <w:r w:rsidR="00603DEB" w:rsidRPr="00100D73">
              <w:rPr>
                <w:lang w:val="en-US"/>
              </w:rPr>
              <w:t xml:space="preserve"> highlight and interpret the main Catholic dogmas; </w:t>
            </w:r>
          </w:p>
          <w:p w:rsidR="005B5B3C" w:rsidRPr="00100D73" w:rsidRDefault="00100D73" w:rsidP="00100D73">
            <w:pPr>
              <w:spacing w:line="240" w:lineRule="auto"/>
              <w:ind w:left="31" w:firstLine="0"/>
              <w:rPr>
                <w:lang w:val="en-US"/>
              </w:rPr>
            </w:pPr>
            <w:r w:rsidRPr="00100D73">
              <w:rPr>
                <w:lang w:val="en-US"/>
              </w:rPr>
              <w:t>–</w:t>
            </w:r>
            <w:r w:rsidR="00603DEB" w:rsidRPr="00100D73">
              <w:rPr>
                <w:lang w:val="en-US"/>
              </w:rPr>
              <w:t xml:space="preserve"> highlight and interpret the main doctrinal provi</w:t>
            </w:r>
            <w:r w:rsidR="00603DEB" w:rsidRPr="00100D73">
              <w:rPr>
                <w:lang w:val="en-US"/>
              </w:rPr>
              <w:t>sions of Protestantism;</w:t>
            </w:r>
          </w:p>
          <w:p w:rsidR="005B5B3C" w:rsidRPr="00100D73" w:rsidRDefault="00100D73" w:rsidP="00100D73">
            <w:pPr>
              <w:spacing w:line="240" w:lineRule="auto"/>
              <w:ind w:left="31" w:firstLine="0"/>
              <w:rPr>
                <w:lang w:val="en-US"/>
              </w:rPr>
            </w:pPr>
            <w:r w:rsidRPr="00100D73">
              <w:rPr>
                <w:lang w:val="en-US"/>
              </w:rPr>
              <w:t>–</w:t>
            </w:r>
            <w:r w:rsidR="00603DEB" w:rsidRPr="00100D73">
              <w:rPr>
                <w:lang w:val="en-US"/>
              </w:rPr>
              <w:t xml:space="preserve"> be able to analyze the main forms of inter-Christian dialogue;</w:t>
            </w:r>
          </w:p>
          <w:p w:rsidR="005B5B3C" w:rsidRPr="00100D73" w:rsidRDefault="00100D73" w:rsidP="00100D73">
            <w:pPr>
              <w:spacing w:line="240" w:lineRule="auto"/>
              <w:ind w:left="31" w:firstLine="0"/>
              <w:rPr>
                <w:lang w:val="en-US"/>
              </w:rPr>
            </w:pPr>
            <w:r w:rsidRPr="00100D73">
              <w:rPr>
                <w:lang w:val="en-US"/>
              </w:rPr>
              <w:t>–</w:t>
            </w:r>
            <w:r w:rsidR="00603DEB" w:rsidRPr="00100D73">
              <w:rPr>
                <w:lang w:val="en-US"/>
              </w:rPr>
              <w:t xml:space="preserve"> highlight common and distinctive provisions in various Christian denominations; </w:t>
            </w:r>
          </w:p>
          <w:p w:rsidR="005B5B3C" w:rsidRPr="00100D73" w:rsidRDefault="00100D73" w:rsidP="00100D73">
            <w:pPr>
              <w:spacing w:line="240" w:lineRule="auto"/>
              <w:ind w:left="31" w:firstLine="0"/>
              <w:rPr>
                <w:lang w:val="en-US"/>
              </w:rPr>
            </w:pPr>
            <w:r w:rsidRPr="00100D73">
              <w:rPr>
                <w:lang w:val="en-US"/>
              </w:rPr>
              <w:t>–</w:t>
            </w:r>
            <w:r w:rsidR="00603DEB" w:rsidRPr="00100D73">
              <w:rPr>
                <w:lang w:val="en-US"/>
              </w:rPr>
              <w:t xml:space="preserve"> answer questions about the differences between Orthodoxy and Catholicism and Prote</w:t>
            </w:r>
            <w:r w:rsidR="00603DEB" w:rsidRPr="00100D73">
              <w:rPr>
                <w:lang w:val="en-US"/>
              </w:rPr>
              <w:t>stantism in a reasoned manner</w:t>
            </w:r>
          </w:p>
          <w:p w:rsidR="005B5B3C" w:rsidRPr="00100D73" w:rsidRDefault="005B5B3C" w:rsidP="00100D73">
            <w:pPr>
              <w:spacing w:line="240" w:lineRule="auto"/>
              <w:ind w:left="31" w:firstLine="0"/>
              <w:rPr>
                <w:lang w:val="en-US"/>
              </w:rPr>
            </w:pPr>
          </w:p>
          <w:p w:rsidR="005B5B3C" w:rsidRPr="00100D73" w:rsidRDefault="00603DEB" w:rsidP="00100D73">
            <w:pPr>
              <w:spacing w:line="240" w:lineRule="auto"/>
              <w:ind w:left="31" w:firstLine="0"/>
            </w:pPr>
            <w:r w:rsidRPr="00100D73">
              <w:t>have skills in:</w:t>
            </w:r>
          </w:p>
          <w:p w:rsidR="00100D73" w:rsidRPr="00100D73" w:rsidRDefault="00100D73" w:rsidP="00100D73">
            <w:pPr>
              <w:spacing w:line="240" w:lineRule="auto"/>
              <w:ind w:firstLine="0"/>
              <w:rPr>
                <w:lang w:val="en-US"/>
              </w:rPr>
            </w:pPr>
            <w:r w:rsidRPr="00100D73">
              <w:rPr>
                <w:lang w:val="en-US"/>
              </w:rPr>
              <w:t xml:space="preserve">– </w:t>
            </w:r>
            <w:r w:rsidRPr="00100D73">
              <w:rPr>
                <w:lang w:val="en-US"/>
              </w:rPr>
              <w:t>working with data sources on the modern history of Western confessions;</w:t>
            </w:r>
          </w:p>
          <w:p w:rsidR="005B5B3C" w:rsidRPr="00100D73" w:rsidRDefault="00100D73" w:rsidP="00100D73">
            <w:pPr>
              <w:spacing w:line="240" w:lineRule="auto"/>
              <w:ind w:firstLine="0"/>
              <w:rPr>
                <w:lang w:val="en-US"/>
              </w:rPr>
            </w:pPr>
            <w:r w:rsidRPr="00100D73">
              <w:rPr>
                <w:lang w:val="en-US"/>
              </w:rPr>
              <w:t xml:space="preserve">– </w:t>
            </w:r>
            <w:bookmarkStart w:id="0" w:name="_GoBack"/>
            <w:bookmarkEnd w:id="0"/>
            <w:r w:rsidRPr="00100D73">
              <w:rPr>
                <w:lang w:val="en-US"/>
              </w:rPr>
              <w:t>perception and analysis of texts with ecclesiastical-historical content, techniques of conducting discussion and polemics, skills in public speaking, and written argumentation of one’s own viewpoint in the field of comparative theology.</w:t>
            </w:r>
          </w:p>
        </w:tc>
      </w:tr>
      <w:tr w:rsidR="005B5B3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C" w:rsidRDefault="00603DE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3C" w:rsidRDefault="00603DE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Пятый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3C" w:rsidRPr="004D7C7E" w:rsidRDefault="004D7C7E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6"/>
              </w:rPr>
            </w:pPr>
            <w:r w:rsidRPr="004D7C7E">
              <w:rPr>
                <w:rFonts w:eastAsia="Calibri" w:cs="Times New Roman"/>
                <w:szCs w:val="26"/>
              </w:rPr>
              <w:t>5</w:t>
            </w:r>
            <w:r w:rsidR="00603DEB" w:rsidRPr="004D7C7E">
              <w:rPr>
                <w:rFonts w:eastAsia="Calibri" w:cs="Times New Roman"/>
                <w:szCs w:val="26"/>
              </w:rPr>
              <w:t xml:space="preserve"> semester</w:t>
            </w:r>
          </w:p>
        </w:tc>
      </w:tr>
      <w:tr w:rsidR="005B5B3C" w:rsidRPr="004D7C7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C" w:rsidRDefault="00603DE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Пререквизиты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r>
              <w:rPr>
                <w:rFonts w:cs="Times New Roman"/>
                <w:szCs w:val="28"/>
              </w:rPr>
              <w:t>Prerequisites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C" w:rsidRDefault="004D7C7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3B67EC">
              <w:t xml:space="preserve">«Догматическое богословие», «История Древней Церкви», «История Европы», «Патрология», «История </w:t>
            </w:r>
            <w:r>
              <w:t>Поместных</w:t>
            </w:r>
            <w:r w:rsidRPr="003B67EC">
              <w:t xml:space="preserve"> </w:t>
            </w:r>
            <w:r>
              <w:t>Православных Церквей</w:t>
            </w:r>
            <w:r w:rsidRPr="003B67EC">
              <w:t>», «Священное Писание Ветхого Завета», «С</w:t>
            </w:r>
            <w:r>
              <w:t>вященное Писание Нового Завета»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C" w:rsidRPr="004D7C7E" w:rsidRDefault="004D7C7E">
            <w:pPr>
              <w:spacing w:line="240" w:lineRule="auto"/>
              <w:ind w:firstLine="0"/>
              <w:rPr>
                <w:rFonts w:eastAsia="Calibri" w:cs="Times New Roman"/>
                <w:szCs w:val="26"/>
              </w:rPr>
            </w:pPr>
            <w:r w:rsidRPr="004D7C7E">
              <w:rPr>
                <w:rFonts w:eastAsia="Calibri" w:cs="Times New Roman"/>
                <w:szCs w:val="26"/>
              </w:rPr>
              <w:t>Dogmatic Theology, History of the Ancient Church, History of Europe, Patrology, History of Local Orthodox Churches, Sacred Scripture of the Old Testament, Sacred Scripture of the New Testament</w:t>
            </w:r>
          </w:p>
        </w:tc>
      </w:tr>
      <w:tr w:rsidR="005B5B3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C" w:rsidRDefault="00603DE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Трудоемкость в зачетных единицах (кредитах) / Credits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3C" w:rsidRDefault="00603DE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D7C7E">
              <w:rPr>
                <w:rFonts w:cs="Times New Roman"/>
                <w:szCs w:val="28"/>
                <w:lang w:val="en-US"/>
              </w:rPr>
              <w:t>4</w:t>
            </w:r>
            <w:r w:rsidRPr="004D7C7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3C" w:rsidRPr="004D7C7E" w:rsidRDefault="00603DEB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6"/>
              </w:rPr>
            </w:pPr>
            <w:r w:rsidRPr="004D7C7E">
              <w:rPr>
                <w:rFonts w:eastAsia="Calibri" w:cs="Times New Roman"/>
                <w:szCs w:val="26"/>
              </w:rPr>
              <w:t>4</w:t>
            </w:r>
            <w:r w:rsidRPr="004D7C7E">
              <w:rPr>
                <w:rFonts w:eastAsia="Calibri" w:cs="Times New Roman"/>
                <w:szCs w:val="26"/>
              </w:rPr>
              <w:t xml:space="preserve"> credits</w:t>
            </w:r>
          </w:p>
        </w:tc>
      </w:tr>
      <w:tr w:rsidR="005B5B3C" w:rsidRPr="00321F2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C" w:rsidRDefault="00603DE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5B5B3C" w:rsidRDefault="00603DE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3C" w:rsidRDefault="00603DE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D7C7E">
              <w:rPr>
                <w:rFonts w:cs="Times New Roman"/>
                <w:szCs w:val="28"/>
              </w:rPr>
              <w:t>80</w:t>
            </w:r>
            <w:r w:rsidRPr="004D7C7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аудиторных часов /</w:t>
            </w:r>
          </w:p>
          <w:p w:rsidR="005B5B3C" w:rsidRDefault="004D7C7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603DEB" w:rsidRPr="004D7C7E">
              <w:rPr>
                <w:rFonts w:cs="Times New Roman"/>
                <w:szCs w:val="28"/>
              </w:rPr>
              <w:t>4</w:t>
            </w:r>
            <w:r w:rsidR="00603DEB">
              <w:rPr>
                <w:rFonts w:cs="Times New Roman"/>
                <w:szCs w:val="28"/>
              </w:rPr>
              <w:t xml:space="preserve"> часа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3C" w:rsidRPr="004D7C7E" w:rsidRDefault="00603DEB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6"/>
              </w:rPr>
            </w:pPr>
            <w:r w:rsidRPr="004D7C7E">
              <w:rPr>
                <w:rFonts w:eastAsia="Calibri" w:cs="Times New Roman"/>
                <w:szCs w:val="26"/>
              </w:rPr>
              <w:t>80</w:t>
            </w:r>
            <w:r w:rsidRPr="004D7C7E">
              <w:rPr>
                <w:rFonts w:eastAsia="Calibri" w:cs="Times New Roman"/>
                <w:szCs w:val="26"/>
              </w:rPr>
              <w:t xml:space="preserve"> classroom hours /</w:t>
            </w:r>
          </w:p>
          <w:p w:rsidR="005B5B3C" w:rsidRPr="004D7C7E" w:rsidRDefault="004D7C7E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6"/>
              </w:rPr>
            </w:pPr>
            <w:r w:rsidRPr="004D7C7E">
              <w:rPr>
                <w:rFonts w:eastAsia="Calibri" w:cs="Times New Roman"/>
                <w:szCs w:val="26"/>
              </w:rPr>
              <w:t xml:space="preserve">54 </w:t>
            </w:r>
            <w:r w:rsidR="00603DEB" w:rsidRPr="004D7C7E">
              <w:rPr>
                <w:rFonts w:eastAsia="Calibri" w:cs="Times New Roman"/>
                <w:szCs w:val="26"/>
              </w:rPr>
              <w:t>hours of independent work</w:t>
            </w:r>
          </w:p>
        </w:tc>
      </w:tr>
      <w:tr w:rsidR="005B5B3C" w:rsidRPr="00321F2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C" w:rsidRDefault="00603DE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C" w:rsidRDefault="00603DEB" w:rsidP="004D7C7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u w:val="single"/>
              </w:rPr>
              <w:t>Экзамен</w:t>
            </w:r>
            <w:r>
              <w:rPr>
                <w:rFonts w:cs="Times New Roman"/>
                <w:szCs w:val="28"/>
              </w:rPr>
              <w:t xml:space="preserve"> / опрос / анализ</w:t>
            </w:r>
            <w:r w:rsidR="004D7C7E">
              <w:rPr>
                <w:rFonts w:cs="Times New Roman"/>
                <w:szCs w:val="28"/>
              </w:rPr>
              <w:t xml:space="preserve"> текста по заданным параметрам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3C" w:rsidRPr="004D7C7E" w:rsidRDefault="00603DEB" w:rsidP="004D7C7E">
            <w:pPr>
              <w:spacing w:line="240" w:lineRule="auto"/>
              <w:ind w:firstLine="0"/>
              <w:rPr>
                <w:rFonts w:eastAsia="Calibri" w:cs="Times New Roman"/>
                <w:szCs w:val="26"/>
              </w:rPr>
            </w:pPr>
            <w:r w:rsidRPr="004D7C7E">
              <w:rPr>
                <w:rFonts w:eastAsia="Calibri" w:cs="Times New Roman"/>
                <w:szCs w:val="26"/>
              </w:rPr>
              <w:t>Exam</w:t>
            </w:r>
            <w:r w:rsidRPr="004D7C7E">
              <w:rPr>
                <w:rFonts w:eastAsia="Calibri" w:cs="Times New Roman"/>
                <w:szCs w:val="26"/>
              </w:rPr>
              <w:t xml:space="preserve"> / </w:t>
            </w:r>
            <w:r w:rsidRPr="004D7C7E">
              <w:rPr>
                <w:rFonts w:eastAsia="Calibri" w:cs="Times New Roman"/>
                <w:szCs w:val="26"/>
              </w:rPr>
              <w:t>questioning</w:t>
            </w:r>
            <w:r w:rsidRPr="004D7C7E">
              <w:rPr>
                <w:rFonts w:eastAsia="Calibri" w:cs="Times New Roman"/>
                <w:szCs w:val="26"/>
              </w:rPr>
              <w:t xml:space="preserve"> / text analysis according to given parameters </w:t>
            </w:r>
          </w:p>
        </w:tc>
      </w:tr>
    </w:tbl>
    <w:p w:rsidR="005B5B3C" w:rsidRDefault="005B5B3C">
      <w:pPr>
        <w:rPr>
          <w:lang w:val="en-US"/>
        </w:rPr>
      </w:pPr>
    </w:p>
    <w:p w:rsidR="005B5B3C" w:rsidRDefault="005B5B3C">
      <w:pPr>
        <w:rPr>
          <w:lang w:val="en-US"/>
        </w:rPr>
      </w:pPr>
    </w:p>
    <w:sectPr w:rsidR="005B5B3C">
      <w:pgSz w:w="16838" w:h="11906" w:orient="landscape"/>
      <w:pgMar w:top="567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EB" w:rsidRDefault="00603DEB">
      <w:pPr>
        <w:spacing w:line="240" w:lineRule="auto"/>
      </w:pPr>
      <w:r>
        <w:separator/>
      </w:r>
    </w:p>
  </w:endnote>
  <w:endnote w:type="continuationSeparator" w:id="0">
    <w:p w:rsidR="00603DEB" w:rsidRDefault="00603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EB" w:rsidRDefault="00603DEB">
      <w:pPr>
        <w:spacing w:line="240" w:lineRule="auto"/>
      </w:pPr>
      <w:r>
        <w:separator/>
      </w:r>
    </w:p>
  </w:footnote>
  <w:footnote w:type="continuationSeparator" w:id="0">
    <w:p w:rsidR="00603DEB" w:rsidRDefault="00603D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F44"/>
    <w:multiLevelType w:val="multilevel"/>
    <w:tmpl w:val="3154BC00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21E65DF"/>
    <w:multiLevelType w:val="hybridMultilevel"/>
    <w:tmpl w:val="CCCC5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C043A"/>
    <w:multiLevelType w:val="hybridMultilevel"/>
    <w:tmpl w:val="B874E2E6"/>
    <w:lvl w:ilvl="0" w:tplc="8CDA1982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438470D2"/>
    <w:multiLevelType w:val="hybridMultilevel"/>
    <w:tmpl w:val="1CC2A4D2"/>
    <w:lvl w:ilvl="0" w:tplc="1E4CC9AA">
      <w:start w:val="5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06BCD"/>
    <w:multiLevelType w:val="hybridMultilevel"/>
    <w:tmpl w:val="4252B98C"/>
    <w:lvl w:ilvl="0" w:tplc="C4E8A2CE">
      <w:start w:val="5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93B95"/>
    <w:multiLevelType w:val="hybridMultilevel"/>
    <w:tmpl w:val="151C1EDE"/>
    <w:lvl w:ilvl="0" w:tplc="82E87C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C38202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27CF1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60D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3FAB6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5E419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81A1C4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EE85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CA28D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626CEB"/>
    <w:multiLevelType w:val="hybridMultilevel"/>
    <w:tmpl w:val="EC40EF34"/>
    <w:lvl w:ilvl="0" w:tplc="8CDA1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C2DCA"/>
    <w:multiLevelType w:val="multilevel"/>
    <w:tmpl w:val="B038C7B4"/>
    <w:lvl w:ilvl="0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3C"/>
    <w:rsid w:val="00100D73"/>
    <w:rsid w:val="00321F23"/>
    <w:rsid w:val="004D7C7E"/>
    <w:rsid w:val="005B5B3C"/>
    <w:rsid w:val="0060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C52A"/>
  <w15:docId w15:val="{A0FE8B73-86AF-4836-81E5-F16614E8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ind w:firstLine="709"/>
    </w:pPr>
    <w:rPr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header"/>
    <w:basedOn w:val="a"/>
    <w:link w:val="af1"/>
    <w:uiPriority w:val="99"/>
    <w:unhideWhenUsed/>
    <w:pPr>
      <w:tabs>
        <w:tab w:val="center" w:pos="4844"/>
        <w:tab w:val="right" w:pos="9689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844"/>
        <w:tab w:val="right" w:pos="9689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paragraph" w:styleId="af4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</w:style>
  <w:style w:type="paragraph" w:styleId="aff">
    <w:name w:val="List Paragraph"/>
    <w:basedOn w:val="a"/>
    <w:uiPriority w:val="99"/>
    <w:qFormat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6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Пользователь Windows</cp:lastModifiedBy>
  <cp:revision>6</cp:revision>
  <dcterms:created xsi:type="dcterms:W3CDTF">2025-01-31T08:26:00Z</dcterms:created>
  <dcterms:modified xsi:type="dcterms:W3CDTF">2025-02-03T09:51:00Z</dcterms:modified>
</cp:coreProperties>
</file>