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57" w:rsidRPr="00FB4857" w:rsidRDefault="00FB4857" w:rsidP="00FB48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green"/>
          <w:lang w:val="en-US"/>
        </w:rPr>
      </w:pPr>
      <w:r w:rsidRPr="00FB4857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>Speciality</w:t>
      </w:r>
      <w:proofErr w:type="spellEnd"/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1-21 01 01 </w:t>
      </w:r>
      <w:proofErr w:type="spellStart"/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>Теология</w:t>
      </w:r>
      <w:proofErr w:type="spellEnd"/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1-21 01 01 Theology</w:t>
      </w:r>
    </w:p>
    <w:p w:rsidR="00FB4857" w:rsidRPr="00FB4857" w:rsidRDefault="00FB4857" w:rsidP="00FB48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B4857">
        <w:rPr>
          <w:rFonts w:ascii="Times New Roman" w:eastAsia="Calibri" w:hAnsi="Times New Roman" w:cs="Times New Roman"/>
          <w:sz w:val="28"/>
          <w:szCs w:val="28"/>
        </w:rPr>
        <w:t>Учебная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B4857">
        <w:rPr>
          <w:rFonts w:ascii="Times New Roman" w:eastAsia="Calibri" w:hAnsi="Times New Roman" w:cs="Times New Roman"/>
          <w:sz w:val="28"/>
          <w:szCs w:val="28"/>
        </w:rPr>
        <w:t>дисциплина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FB4857">
        <w:rPr>
          <w:rFonts w:ascii="Times New Roman" w:eastAsia="Calibri" w:hAnsi="Times New Roman" w:cs="Times New Roman"/>
          <w:sz w:val="28"/>
          <w:szCs w:val="28"/>
        </w:rPr>
        <w:t>модуль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Academic d</w:t>
      </w:r>
      <w:r w:rsidRPr="00FB485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iscipline, module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FB4857" w:rsidRPr="00FB4857" w:rsidRDefault="00FB4857" w:rsidP="00FB48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Православная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эортология</w:t>
      </w:r>
      <w:proofErr w:type="spellEnd"/>
      <w:r w:rsidRPr="00FB485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en-US"/>
        </w:rPr>
        <w:t xml:space="preserve">, </w:t>
      </w:r>
      <w:r w:rsidRPr="00FB4857">
        <w:rPr>
          <w:rFonts w:ascii="Times New Roman" w:eastAsia="Calibri" w:hAnsi="Times New Roman" w:cs="Times New Roman"/>
          <w:sz w:val="28"/>
          <w:szCs w:val="28"/>
        </w:rPr>
        <w:t>модуль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r w:rsidR="00A64DAC">
        <w:rPr>
          <w:rFonts w:ascii="Times New Roman" w:eastAsia="Calibri" w:hAnsi="Times New Roman" w:cs="Times New Roman"/>
          <w:sz w:val="28"/>
          <w:szCs w:val="28"/>
        </w:rPr>
        <w:t>Дисциплины</w:t>
      </w:r>
      <w:r w:rsidR="00A64DAC" w:rsidRPr="00A64DA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A64DAC">
        <w:rPr>
          <w:rFonts w:ascii="Times New Roman" w:eastAsia="Calibri" w:hAnsi="Times New Roman" w:cs="Times New Roman"/>
          <w:sz w:val="28"/>
          <w:szCs w:val="28"/>
        </w:rPr>
        <w:t>специализации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» </w:t>
      </w:r>
      <w:r w:rsidRPr="00FB4857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en-US"/>
        </w:rPr>
        <w:t>/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25F68" w:rsidRPr="00725F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Orthodox </w:t>
      </w:r>
      <w:proofErr w:type="spellStart"/>
      <w:r w:rsidR="00725F68" w:rsidRPr="00725F68">
        <w:rPr>
          <w:rFonts w:ascii="Times New Roman" w:eastAsia="Calibri" w:hAnsi="Times New Roman" w:cs="Times New Roman"/>
          <w:sz w:val="28"/>
          <w:szCs w:val="28"/>
          <w:lang w:val="en-US"/>
        </w:rPr>
        <w:t>Eortology</w:t>
      </w:r>
      <w:proofErr w:type="spellEnd"/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FB4857">
        <w:rPr>
          <w:rFonts w:ascii="Calibri" w:eastAsia="Calibri" w:hAnsi="Calibri" w:cs="Times New Roman"/>
          <w:szCs w:val="28"/>
          <w:lang w:val="en-US"/>
        </w:rPr>
        <w:t>«</w:t>
      </w:r>
      <w:r w:rsidR="00725F68" w:rsidRPr="00725F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25F68" w:rsidRPr="00725F68">
        <w:rPr>
          <w:rFonts w:ascii="Times New Roman" w:eastAsia="Calibri" w:hAnsi="Times New Roman" w:cs="Times New Roman"/>
          <w:sz w:val="28"/>
          <w:szCs w:val="28"/>
          <w:lang w:val="en-US"/>
        </w:rPr>
        <w:t>pecialization disciplines</w:t>
      </w:r>
      <w:r w:rsidRPr="00FB4857">
        <w:rPr>
          <w:rFonts w:ascii="Calibri" w:eastAsia="Calibri" w:hAnsi="Calibri" w:cs="Times New Roman"/>
          <w:szCs w:val="28"/>
          <w:lang w:val="en-US"/>
        </w:rPr>
        <w:t>»</w:t>
      </w:r>
      <w:r w:rsidRPr="00FB485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module</w:t>
      </w:r>
    </w:p>
    <w:p w:rsidR="00FB4857" w:rsidRPr="00FB4857" w:rsidRDefault="00FB4857" w:rsidP="00FB48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3"/>
        <w:tblW w:w="15163" w:type="dxa"/>
        <w:tblInd w:w="0" w:type="dxa"/>
        <w:tblLook w:val="04A0" w:firstRow="1" w:lastRow="0" w:firstColumn="1" w:lastColumn="0" w:noHBand="0" w:noVBand="1"/>
      </w:tblPr>
      <w:tblGrid>
        <w:gridCol w:w="5098"/>
        <w:gridCol w:w="4820"/>
        <w:gridCol w:w="5245"/>
      </w:tblGrid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r w:rsidRPr="00FB48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Brief</w:t>
            </w:r>
            <w:r w:rsidRPr="00FB48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summary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об </w:t>
            </w: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эортологии</w:t>
            </w:r>
            <w:proofErr w:type="spellEnd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Богослужебные круги: история формирования и развития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Великие </w:t>
            </w: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недвунадесятые</w:t>
            </w:r>
            <w:proofErr w:type="spellEnd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Двунадесятые праздники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Рождество Пресвятой Богородицы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Воздвижение Креста Господня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во храм Пресвятой Богородицы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Рождество Христово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Крещение Господне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Сретение Господне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Благовещение Пресвятой Богородицы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Вход Господень в Иерусалим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Пасха как центр литургического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Вознесение Господне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Святая Пятидесятница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Преображение Господне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Успение Пресвятой Богородицы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AC" w:rsidRPr="00A64DAC" w:rsidRDefault="00A64DAC" w:rsidP="00A64D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 xml:space="preserve">Concept in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eortology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 xml:space="preserve">. Liturgical cycles: history of formation and development. Great Feasts. Twelve Feasts. Nativity of the Most Holy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Theotokos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 xml:space="preserve">. Exaltation of the Holy Cross. Entry of the Most Holy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Theotokos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 xml:space="preserve"> into the Temple. Nativity of Christ. Baptism of the Lord. Meeting of the Lord. Annunciation of the Most Holy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Theotokos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 xml:space="preserve">. Entry of the Lord into Jerusalem. Easter as the center of the liturgical year. Ascension of the Lord. Holy Pentecost. Transfiguration of the Lord. Dormition of the Most Holy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Theotokos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.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Формируемые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BD6C69" w:rsidP="00FB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Универсальная компетенция</w:t>
            </w:r>
            <w:r w:rsidR="00FB4857" w:rsidRPr="00FB4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УК-1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Владеть основами исследовательской деятельности, осуществлять поиск, анализ и синтез информации;</w:t>
            </w:r>
          </w:p>
          <w:p w:rsidR="00BD6C69" w:rsidRPr="00BD6C69" w:rsidRDefault="00BD6C69" w:rsidP="00FB485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C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Базовая профессиональная компетенция: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БПК-2 Использовать основы теологических знаний для формирования христианской мировоззренческой позиции.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69" w:rsidRDefault="00BD6C69" w:rsidP="00A64DA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D6C6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Universal competence:</w:t>
            </w:r>
          </w:p>
          <w:p w:rsidR="00A64DAC" w:rsidRDefault="00725F68" w:rsidP="00A64D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UK-1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4DAC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Master the fundamentals of research, search, analyze, and synthesize information;</w:t>
            </w:r>
          </w:p>
          <w:p w:rsidR="00BD6C69" w:rsidRPr="00BD6C69" w:rsidRDefault="00BD6C69" w:rsidP="00A64DA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D6C6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Basic professional competence:</w:t>
            </w:r>
          </w:p>
          <w:p w:rsidR="00FB4857" w:rsidRPr="00FB4857" w:rsidRDefault="00725F68" w:rsidP="00A64D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BPK-2</w:t>
            </w:r>
            <w:r w:rsidR="00A64DAC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Use the fundamentals of theological knowledge to develop a Christian worldview.</w:t>
            </w:r>
          </w:p>
        </w:tc>
      </w:tr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знать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уметь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владеть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/ Learning outcomes (know, be able to, have skills in)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  <w:t xml:space="preserve">знать: 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основные </w:t>
            </w:r>
            <w:proofErr w:type="spellStart"/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литургико</w:t>
            </w:r>
            <w:proofErr w:type="spellEnd"/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-канонические, канонические и святоотеческие памятники, связанные с православной </w:t>
            </w:r>
            <w:proofErr w:type="spellStart"/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эортологией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;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генезис и развитие православных праздников и постов;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богословские идеи праздников Православной Церкви и их развитие;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понятия и категории православной </w:t>
            </w:r>
            <w:proofErr w:type="spellStart"/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эортологии</w:t>
            </w:r>
            <w:proofErr w:type="spellEnd"/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;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основные уставные особенности праздничных богослужений.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  <w:t>уметь: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FB4857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ориентироваться в истории праздников и постов; 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пользоваться понятийно-категориальным аппаратом православной </w:t>
            </w:r>
            <w:proofErr w:type="spellStart"/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эортологии</w:t>
            </w:r>
            <w:proofErr w:type="spellEnd"/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;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ориентироваться в литургических, канонических и святоотеческих памятниках, относящихся к </w:t>
            </w:r>
            <w:proofErr w:type="spellStart"/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эортологической</w:t>
            </w:r>
            <w:proofErr w:type="spellEnd"/>
            <w:r w:rsidR="00A64DAC" w:rsidRPr="00A64DAC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практике Православной Церкви;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- </w:t>
            </w:r>
            <w:r w:rsidR="00A64DAC" w:rsidRPr="00A64DA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анализировать богословские идеи праздников Православной Церкви.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  <w:t xml:space="preserve">иметь навык: </w:t>
            </w:r>
          </w:p>
          <w:p w:rsidR="00A64DAC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A64DAC" w:rsidRPr="00A64DA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анализа истории происхождения и развития праздников и постов Православной Церкви;</w:t>
            </w:r>
          </w:p>
          <w:p w:rsidR="00FB4857" w:rsidRDefault="00FB4857" w:rsidP="00FB4857">
            <w:pPr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="00A64DAC" w:rsidRPr="00A64DA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научного анализа источников, касающихся предмета;</w:t>
            </w:r>
          </w:p>
          <w:p w:rsidR="00A64DAC" w:rsidRPr="00FB4857" w:rsidRDefault="00A64DAC" w:rsidP="00FB4857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</w:t>
            </w:r>
            <w:r w:rsidRPr="00A64DA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объяснения богословских идей праздников Православной Церкви на основании праздничных песнопений и молитвословий.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know: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the main liturgical-canonical, canonical, and patristic texts related to Orthodox </w:t>
            </w:r>
            <w:proofErr w:type="spellStart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eortology</w:t>
            </w:r>
            <w:proofErr w:type="spellEnd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the genesis and development of Orthodox feasts and fasts; 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theological concepts of the feasts of the Orthodox Church and their development; 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concepts and categories of Orthodox </w:t>
            </w:r>
            <w:proofErr w:type="spellStart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eortology</w:t>
            </w:r>
            <w:proofErr w:type="spellEnd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:rsidR="00725F68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the main statutory features of festive services.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be able to: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navigate</w:t>
            </w:r>
            <w:r w:rsidR="00852B95" w:rsidRPr="00852B9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2B9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</w:t>
            </w: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the history of feasts and fasts; </w:t>
            </w:r>
          </w:p>
          <w:p w:rsidR="008C249D" w:rsidRDefault="00852B95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852B9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25F68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use the conceptual and categorical apparatus of Orthodox </w:t>
            </w:r>
            <w:proofErr w:type="spellStart"/>
            <w:r w:rsidR="00725F68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eortology</w:t>
            </w:r>
            <w:proofErr w:type="spellEnd"/>
            <w:r w:rsidR="00725F68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navigate</w:t>
            </w:r>
            <w:r w:rsidR="00852B9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in</w:t>
            </w: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liturgical, canonical, and patristic texts related to the </w:t>
            </w:r>
            <w:proofErr w:type="spellStart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eortological</w:t>
            </w:r>
            <w:proofErr w:type="spellEnd"/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practice of the Orthodox Church; </w:t>
            </w:r>
          </w:p>
          <w:p w:rsidR="00725F68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analyze the theological concepts of the feasts of the Orthodox Church.</w:t>
            </w:r>
          </w:p>
          <w:p w:rsidR="00FB4857" w:rsidRPr="00FB4857" w:rsidRDefault="00FB4857" w:rsidP="00FB485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have skills in: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- analyzing the historical origin and development of feasts and fasts of the Orthodox Church; </w:t>
            </w:r>
          </w:p>
          <w:p w:rsidR="008C249D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scholarly analysis of sources related to the subject; </w:t>
            </w:r>
          </w:p>
          <w:p w:rsidR="00FB4857" w:rsidRPr="00FB4857" w:rsidRDefault="00852B95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explanation</w:t>
            </w:r>
            <w:r w:rsidR="00725F68"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the theological ideas of the holidays of the Orthodox Church based on festive hymns and prayers.</w:t>
            </w:r>
          </w:p>
        </w:tc>
      </w:tr>
      <w:tr w:rsidR="00FB4857" w:rsidRPr="00FB4857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Semester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of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A64DAC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725F68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semester</w:t>
            </w:r>
            <w:proofErr w:type="spellEnd"/>
          </w:p>
        </w:tc>
      </w:tr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FB48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A64DAC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Литургика</w:t>
            </w:r>
            <w:proofErr w:type="spellEnd"/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», «Священное Писание Ветхого и Нового Завета», «Патрология», «Каноническое право»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725F68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"Liturgics", "Holy Scripture of the Old and New Testam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ents",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Patrology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", "Canon Law"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B4857" w:rsidRPr="00FB4857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FB4857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3 зачетные единицы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FB4857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credits</w:t>
            </w:r>
            <w:proofErr w:type="spellEnd"/>
          </w:p>
        </w:tc>
      </w:tr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Academic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hour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of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students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'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class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work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FB4857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36 аудиторных часов /</w:t>
            </w:r>
          </w:p>
          <w:p w:rsidR="00FB4857" w:rsidRPr="00FB4857" w:rsidRDefault="00A64DAC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 самостоятельной 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57" w:rsidRPr="00FB4857" w:rsidRDefault="00FB4857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36 classroom hours /</w:t>
            </w:r>
          </w:p>
          <w:p w:rsidR="00FB4857" w:rsidRPr="00FB4857" w:rsidRDefault="00725F68" w:rsidP="00FB48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6C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54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hours of independent work</w:t>
            </w:r>
          </w:p>
        </w:tc>
      </w:tr>
      <w:tr w:rsidR="00FB4857" w:rsidRPr="007269B5" w:rsidTr="00393D6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FB4857" w:rsidP="00FB485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формы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текущей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промежуточной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аттестации</w:t>
            </w:r>
            <w:r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FB4857" w:rsidRDefault="00A64DAC" w:rsidP="00FB48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опрос на семинарских занятиях, </w:t>
            </w:r>
            <w:proofErr w:type="spellStart"/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коллковиум</w:t>
            </w:r>
            <w:proofErr w:type="spellEnd"/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</w:t>
            </w:r>
            <w:r w:rsidRPr="00A64DAC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57" w:rsidRPr="00BD6C69" w:rsidRDefault="00725F68" w:rsidP="00725F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5F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survey at seminars, colloquium</w:t>
            </w:r>
            <w:r w:rsidR="00FB4857" w:rsidRPr="00FB485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</w:tbl>
    <w:p w:rsidR="00155301" w:rsidRPr="00FB4857" w:rsidRDefault="007269B5">
      <w:pPr>
        <w:rPr>
          <w:lang w:val="en-US"/>
        </w:rPr>
      </w:pPr>
      <w:bookmarkStart w:id="0" w:name="_GoBack"/>
      <w:bookmarkEnd w:id="0"/>
    </w:p>
    <w:sectPr w:rsidR="00155301" w:rsidRPr="00FB4857" w:rsidSect="00FB4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5B"/>
    <w:rsid w:val="000A085B"/>
    <w:rsid w:val="00561F42"/>
    <w:rsid w:val="00725F68"/>
    <w:rsid w:val="007269B5"/>
    <w:rsid w:val="007D461C"/>
    <w:rsid w:val="00852B95"/>
    <w:rsid w:val="008C249D"/>
    <w:rsid w:val="00A64DAC"/>
    <w:rsid w:val="00BD6C69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5B86"/>
  <w15:chartTrackingRefBased/>
  <w15:docId w15:val="{C61A2ECE-706B-47BA-B22B-9C7EA1CE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8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dcterms:created xsi:type="dcterms:W3CDTF">2026-04-03T08:56:00Z</dcterms:created>
  <dcterms:modified xsi:type="dcterms:W3CDTF">2026-04-03T08:56:00Z</dcterms:modified>
</cp:coreProperties>
</file>